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6CC2" w:rsidRDefault="00546CC2" w:rsidP="00BA3E1E">
      <w:pPr>
        <w:tabs>
          <w:tab w:val="left" w:pos="6804"/>
        </w:tabs>
        <w:ind w:left="5529"/>
        <w:rPr>
          <w:szCs w:val="24"/>
          <w:lang w:eastAsia="lt-LT"/>
        </w:rPr>
      </w:pPr>
      <w:r>
        <w:t>Valstybinių ir savivaldybių švietimo įstaigų (išskyrus aukštąsias mokyklas) vadovų, jų pavaduotojų ugdymui, ugdymą organizuojančių skyrių vedėjų veiklos vertinimo nuostatų</w:t>
      </w:r>
    </w:p>
    <w:p w:rsidR="00546CC2" w:rsidRDefault="00546CC2" w:rsidP="00BA3E1E">
      <w:pPr>
        <w:tabs>
          <w:tab w:val="left" w:pos="6804"/>
        </w:tabs>
        <w:ind w:left="5529"/>
        <w:rPr>
          <w:szCs w:val="24"/>
          <w:lang w:eastAsia="ar-SA"/>
        </w:rPr>
      </w:pPr>
      <w:r>
        <w:rPr>
          <w:szCs w:val="24"/>
          <w:lang w:eastAsia="ar-SA"/>
        </w:rPr>
        <w:t>1 priedas</w:t>
      </w:r>
    </w:p>
    <w:p w:rsidR="00546CC2" w:rsidRDefault="00546CC2" w:rsidP="00BA3E1E">
      <w:pPr>
        <w:tabs>
          <w:tab w:val="left" w:pos="6237"/>
          <w:tab w:val="right" w:pos="8306"/>
        </w:tabs>
        <w:rPr>
          <w:szCs w:val="24"/>
        </w:rPr>
      </w:pPr>
    </w:p>
    <w:p w:rsidR="00546CC2" w:rsidRDefault="00546CC2" w:rsidP="00BA3E1E">
      <w:pPr>
        <w:jc w:val="center"/>
        <w:rPr>
          <w:b/>
          <w:szCs w:val="24"/>
          <w:lang w:eastAsia="lt-LT"/>
        </w:rPr>
      </w:pPr>
      <w:r>
        <w:rPr>
          <w:b/>
          <w:szCs w:val="24"/>
          <w:lang w:eastAsia="lt-LT"/>
        </w:rPr>
        <w:t>(Švietimo įstaigos (išskyrus aukštąją mokyklą) vadovo metų veiklos ataskaitos forma)</w:t>
      </w:r>
    </w:p>
    <w:p w:rsidR="00546CC2" w:rsidRDefault="00546CC2" w:rsidP="00BA3E1E">
      <w:pPr>
        <w:jc w:val="center"/>
        <w:rPr>
          <w:b/>
          <w:szCs w:val="24"/>
          <w:lang w:eastAsia="lt-LT"/>
        </w:rPr>
      </w:pPr>
    </w:p>
    <w:p w:rsidR="00546CC2" w:rsidRDefault="00546CC2" w:rsidP="00BA3E1E">
      <w:pPr>
        <w:jc w:val="center"/>
        <w:rPr>
          <w:b/>
          <w:szCs w:val="24"/>
          <w:lang w:eastAsia="lt-LT"/>
        </w:rPr>
      </w:pPr>
      <w:r>
        <w:rPr>
          <w:b/>
          <w:szCs w:val="24"/>
          <w:lang w:eastAsia="lt-LT"/>
        </w:rPr>
        <w:t>Panevėžio regos centras Linelis</w:t>
      </w:r>
    </w:p>
    <w:p w:rsidR="00546CC2" w:rsidRDefault="00546CC2" w:rsidP="00BA3E1E">
      <w:pPr>
        <w:tabs>
          <w:tab w:val="left" w:pos="14656"/>
        </w:tabs>
        <w:jc w:val="center"/>
        <w:rPr>
          <w:sz w:val="20"/>
          <w:lang w:eastAsia="lt-LT"/>
        </w:rPr>
      </w:pPr>
      <w:r>
        <w:rPr>
          <w:sz w:val="20"/>
          <w:lang w:eastAsia="lt-LT"/>
        </w:rPr>
        <w:t xml:space="preserve"> (švietimo įstaigos pavadinimas)</w:t>
      </w:r>
    </w:p>
    <w:p w:rsidR="00546CC2" w:rsidRDefault="00546CC2" w:rsidP="00BA3E1E">
      <w:pPr>
        <w:tabs>
          <w:tab w:val="left" w:pos="14656"/>
        </w:tabs>
        <w:jc w:val="center"/>
        <w:rPr>
          <w:sz w:val="20"/>
          <w:lang w:eastAsia="lt-LT"/>
        </w:rPr>
      </w:pPr>
    </w:p>
    <w:p w:rsidR="00546CC2" w:rsidRDefault="00546CC2" w:rsidP="00BA3E1E">
      <w:pPr>
        <w:tabs>
          <w:tab w:val="left" w:pos="14656"/>
        </w:tabs>
        <w:jc w:val="center"/>
        <w:rPr>
          <w:szCs w:val="24"/>
          <w:lang w:eastAsia="lt-LT"/>
        </w:rPr>
      </w:pPr>
      <w:r>
        <w:rPr>
          <w:szCs w:val="24"/>
          <w:lang w:eastAsia="lt-LT"/>
        </w:rPr>
        <w:t>Vera Janikūnienė</w:t>
      </w:r>
    </w:p>
    <w:p w:rsidR="00546CC2" w:rsidRDefault="00546CC2" w:rsidP="00BA3E1E">
      <w:pPr>
        <w:jc w:val="center"/>
        <w:rPr>
          <w:sz w:val="20"/>
          <w:lang w:eastAsia="lt-LT"/>
        </w:rPr>
      </w:pPr>
      <w:r>
        <w:rPr>
          <w:sz w:val="20"/>
          <w:lang w:eastAsia="lt-LT"/>
        </w:rPr>
        <w:t xml:space="preserve"> (švietimo įstaigos vadovo vardas ir pavardė)</w:t>
      </w:r>
    </w:p>
    <w:p w:rsidR="00546CC2" w:rsidRDefault="00546CC2" w:rsidP="00BA3E1E">
      <w:pPr>
        <w:jc w:val="center"/>
        <w:rPr>
          <w:b/>
          <w:szCs w:val="24"/>
          <w:lang w:eastAsia="lt-LT"/>
        </w:rPr>
      </w:pPr>
      <w:r>
        <w:rPr>
          <w:b/>
          <w:szCs w:val="24"/>
          <w:lang w:eastAsia="lt-LT"/>
        </w:rPr>
        <w:t>METŲ VEIKLOS ATASKAITA</w:t>
      </w:r>
    </w:p>
    <w:p w:rsidR="00546CC2" w:rsidRDefault="00546CC2" w:rsidP="00BA3E1E">
      <w:pPr>
        <w:jc w:val="center"/>
        <w:rPr>
          <w:szCs w:val="24"/>
          <w:lang w:eastAsia="lt-LT"/>
        </w:rPr>
      </w:pPr>
    </w:p>
    <w:p w:rsidR="00546CC2" w:rsidRDefault="00546CC2" w:rsidP="00BA3E1E">
      <w:pPr>
        <w:jc w:val="center"/>
        <w:rPr>
          <w:szCs w:val="24"/>
          <w:lang w:eastAsia="lt-LT"/>
        </w:rPr>
      </w:pPr>
      <w:r>
        <w:rPr>
          <w:szCs w:val="24"/>
          <w:lang w:eastAsia="lt-LT"/>
        </w:rPr>
        <w:t xml:space="preserve">2021-01-19 Nr. ________ </w:t>
      </w:r>
    </w:p>
    <w:p w:rsidR="00546CC2" w:rsidRPr="00A46480" w:rsidRDefault="00546CC2" w:rsidP="00BA3E1E">
      <w:pPr>
        <w:tabs>
          <w:tab w:val="left" w:pos="3828"/>
        </w:tabs>
        <w:jc w:val="center"/>
        <w:rPr>
          <w:szCs w:val="24"/>
          <w:lang w:eastAsia="lt-LT"/>
        </w:rPr>
      </w:pPr>
      <w:r w:rsidRPr="00A46480">
        <w:rPr>
          <w:szCs w:val="24"/>
          <w:lang w:eastAsia="lt-LT"/>
        </w:rPr>
        <w:t>Panevėžys</w:t>
      </w:r>
    </w:p>
    <w:p w:rsidR="00546CC2" w:rsidRDefault="00546CC2" w:rsidP="00BA3E1E">
      <w:pPr>
        <w:tabs>
          <w:tab w:val="left" w:pos="3828"/>
        </w:tabs>
        <w:jc w:val="center"/>
        <w:rPr>
          <w:lang w:eastAsia="lt-LT"/>
        </w:rPr>
      </w:pPr>
    </w:p>
    <w:p w:rsidR="00546CC2" w:rsidRDefault="00546CC2" w:rsidP="00BA3E1E">
      <w:pPr>
        <w:jc w:val="center"/>
        <w:rPr>
          <w:b/>
          <w:szCs w:val="24"/>
          <w:lang w:eastAsia="lt-LT"/>
        </w:rPr>
      </w:pPr>
      <w:r>
        <w:rPr>
          <w:b/>
          <w:szCs w:val="24"/>
          <w:lang w:eastAsia="lt-LT"/>
        </w:rPr>
        <w:t>I SKYRIUS</w:t>
      </w:r>
    </w:p>
    <w:p w:rsidR="00546CC2" w:rsidRDefault="00546CC2" w:rsidP="00BA3E1E">
      <w:pPr>
        <w:jc w:val="center"/>
        <w:rPr>
          <w:b/>
          <w:szCs w:val="24"/>
          <w:lang w:eastAsia="lt-LT"/>
        </w:rPr>
      </w:pPr>
      <w:r>
        <w:rPr>
          <w:b/>
          <w:szCs w:val="24"/>
          <w:lang w:eastAsia="lt-LT"/>
        </w:rPr>
        <w:t>STRATEGINIO PLANO IR METINIO VEIKLOS PLANO ĮGYVENDINIMAS</w:t>
      </w:r>
    </w:p>
    <w:p w:rsidR="00546CC2" w:rsidRDefault="00546CC2" w:rsidP="00BA3E1E">
      <w:pPr>
        <w:jc w:val="center"/>
        <w:rPr>
          <w:b/>
          <w:lang w:eastAsia="lt-LT"/>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18"/>
      </w:tblGrid>
      <w:tr w:rsidR="00546CC2" w:rsidTr="00BA3E1E">
        <w:tc>
          <w:tcPr>
            <w:tcW w:w="9775" w:type="dxa"/>
          </w:tcPr>
          <w:p w:rsidR="00546CC2" w:rsidRDefault="00546CC2" w:rsidP="00A46480">
            <w:pPr>
              <w:jc w:val="center"/>
              <w:rPr>
                <w:bCs/>
                <w:szCs w:val="24"/>
              </w:rPr>
            </w:pPr>
            <w:r>
              <w:rPr>
                <w:bCs/>
                <w:szCs w:val="24"/>
              </w:rPr>
              <w:t>(Švietimo įstaigos strateginio plano ir metinio veiklos plano įgyvendinimo kryptys ir svarbiausi rezultatai bei rodikliai)</w:t>
            </w:r>
          </w:p>
          <w:p w:rsidR="00546CC2" w:rsidRDefault="00546CC2" w:rsidP="00A87ACD">
            <w:pPr>
              <w:jc w:val="both"/>
              <w:rPr>
                <w:b/>
                <w:szCs w:val="24"/>
              </w:rPr>
            </w:pPr>
            <w:r>
              <w:rPr>
                <w:b/>
                <w:szCs w:val="24"/>
              </w:rPr>
              <w:t xml:space="preserve">1.Tikslas. Įtraukiojo ugdymo nuostatų įgyvendinimas. </w:t>
            </w:r>
          </w:p>
          <w:p w:rsidR="00546CC2" w:rsidRDefault="00546CC2" w:rsidP="00A87ACD">
            <w:pPr>
              <w:jc w:val="both"/>
              <w:rPr>
                <w:b/>
                <w:szCs w:val="24"/>
              </w:rPr>
            </w:pPr>
            <w:r>
              <w:rPr>
                <w:b/>
                <w:szCs w:val="24"/>
              </w:rPr>
              <w:t>1.Uždavinys. Įtraukiojo ugdymo (si) įgyvendinimas siekiant užtikrinti kokybišką ugdymą (sį) visiems jo dalyviams. Visų bendruomenės narių vertybių, pasaulėžiūros, pažiūrų ir elgesio formavimas dėl veiksmingos ir sistemingos pagalbos kiekvienam vaikui.</w:t>
            </w:r>
          </w:p>
          <w:p w:rsidR="00546CC2" w:rsidRPr="00A46480" w:rsidRDefault="00546CC2" w:rsidP="00A87ACD">
            <w:pPr>
              <w:jc w:val="both"/>
              <w:rPr>
                <w:b/>
                <w:szCs w:val="24"/>
              </w:rPr>
            </w:pPr>
            <w:r w:rsidRPr="00A46480">
              <w:rPr>
                <w:b/>
                <w:szCs w:val="24"/>
              </w:rPr>
              <w:t>Vaiko vienodos vertės pripažinimas ir pagalba, leidžianti kiekvienam mokytis individualiu tempu, pagal galimybes, gabumus, pajėgumą, poreikius ir interesus.</w:t>
            </w:r>
          </w:p>
          <w:p w:rsidR="00546CC2" w:rsidRDefault="00546CC2" w:rsidP="00A87ACD">
            <w:pPr>
              <w:jc w:val="both"/>
              <w:rPr>
                <w:b/>
                <w:szCs w:val="24"/>
              </w:rPr>
            </w:pPr>
          </w:p>
          <w:p w:rsidR="00546CC2" w:rsidRDefault="00546CC2" w:rsidP="00A46480">
            <w:pPr>
              <w:jc w:val="both"/>
              <w:rPr>
                <w:bCs/>
                <w:szCs w:val="24"/>
              </w:rPr>
            </w:pPr>
            <w:r>
              <w:rPr>
                <w:bCs/>
                <w:szCs w:val="24"/>
              </w:rPr>
              <w:t xml:space="preserve">     Įtraukusis ugdymas – atsivėrusi erdvė, orientuojanti tiek šeimas, tiek regos centrą veikti bendrai, darniai ir kūrybingai. Įtraukiojo ugdymo dėka Regos centre rūpinamasi kiekvienu ugdytiniu, stengiantis kuo prasmingesnio jo dalyvavimo ugdymo procese ir siekiant apriboti šį dalyvavimą apsunkinančius veiksnius, kad būtų išvengta atskirties.</w:t>
            </w:r>
          </w:p>
          <w:p w:rsidR="00546CC2" w:rsidRDefault="00546CC2">
            <w:pPr>
              <w:jc w:val="both"/>
              <w:rPr>
                <w:szCs w:val="24"/>
              </w:rPr>
            </w:pPr>
            <w:r>
              <w:rPr>
                <w:b/>
                <w:szCs w:val="24"/>
              </w:rPr>
              <w:t xml:space="preserve">     </w:t>
            </w:r>
            <w:r>
              <w:rPr>
                <w:bCs/>
                <w:szCs w:val="24"/>
              </w:rPr>
              <w:t>2020 m.</w:t>
            </w:r>
            <w:r>
              <w:rPr>
                <w:b/>
                <w:szCs w:val="24"/>
              </w:rPr>
              <w:t xml:space="preserve"> </w:t>
            </w:r>
            <w:r>
              <w:rPr>
                <w:bCs/>
                <w:szCs w:val="24"/>
              </w:rPr>
              <w:t>u</w:t>
            </w:r>
            <w:r>
              <w:rPr>
                <w:szCs w:val="24"/>
              </w:rPr>
              <w:t xml:space="preserve">gdymas organizuojamas pagal VIII ir XIII ikimokyklinio ugdymo organizavimo modelius, priešmokyklinis ugdymas pagal XIII ugdymo organizavimo modelį, patvirtintus Panevėžio miesto savivaldybės administracijos direktorius 2020-09-07 įsakymu Nr. A-818 „Dėl savivaldybės švietimo įstaigų pasirinktų ikimokyklinio ir priešmokyklinio ugdymo organizavimo modelių 2020−2021 mokslo metams patvirtinimo“. 2020 m. sukomplektuotos 4 ikimokyklinio ugdymo grupės: 1 lopšelio, 2 ikimokyklinio ugdymo, 1 jungtinė priešmokyklinio ugdymo grupė. Lankė 65 ugdytiniai. </w:t>
            </w:r>
          </w:p>
          <w:p w:rsidR="00546CC2" w:rsidRPr="00A46480" w:rsidRDefault="00546CC2" w:rsidP="00A46480">
            <w:pPr>
              <w:jc w:val="both"/>
              <w:rPr>
                <w:szCs w:val="24"/>
              </w:rPr>
            </w:pPr>
            <w:r>
              <w:rPr>
                <w:szCs w:val="24"/>
              </w:rPr>
              <w:t xml:space="preserve">    Vykdomos ikimokyklinio ugdymo „Po vaikystės šalį“, Bendroji priešmokyklinio ugdymo, specialiojo ugdymo programos, organizuojamas ir vykdomas korekcinis regos ir kitų sutrikimų ugdymas. Regos centre dirba tiflopedagogai (vizituojantys mokytojai) teikiantys tiflopedagoginę pagalbą silpnaregiams ir akliems ugdytiniams nuo 1,5 iki 21 metų nelankantiems ikimokyklinių įstaigų, negalintiems lankyti bendrojo ugdymo ar specialiojo ugdymo mokyklų dėl negalios, lankantiems bendrojo ar specialiojo ugdymo mokyklas, bet ten negaunantiems tiflopedagoginės pagalbos. Tiflopedagoginė pagalba buvo teikiama 20 mokinių namuose ir kitose Panevėžio miesto bendrojo lavinimo ir specialiosiose mokyklose. </w:t>
            </w:r>
          </w:p>
          <w:p w:rsidR="00546CC2" w:rsidRDefault="00546CC2" w:rsidP="00A46480">
            <w:pPr>
              <w:jc w:val="both"/>
              <w:rPr>
                <w:szCs w:val="24"/>
              </w:rPr>
            </w:pPr>
            <w:r>
              <w:rPr>
                <w:szCs w:val="24"/>
              </w:rPr>
              <w:t xml:space="preserve">     30 ugdytinių PPT buvo nustatyti specialieji ugdymo (si) poreikiai (toliau SUP). SUP nedideli-39 proc., vidutiniai-5 proc., dideli-3 proc., labai dideli-1 proc. vaikų. Sutikimų korekciją atliko: specialusis pedagogas, tiflopedagogas, logopedas, judesio korekcijos pedagogas, psichologas, kineziterapeutas, bendrosios praktikos slaugytojai regos sutrikimams koreguoti. </w:t>
            </w:r>
          </w:p>
          <w:p w:rsidR="00546CC2" w:rsidRDefault="00546CC2" w:rsidP="00A46480">
            <w:pPr>
              <w:jc w:val="both"/>
              <w:rPr>
                <w:szCs w:val="24"/>
              </w:rPr>
            </w:pPr>
            <w:r>
              <w:t xml:space="preserve">    Vaiko gerovės komisija rūpinosi vaikui saugia ir palankia mokymosi aplinka, orientuota į asmenybės sėkmę, gerą savijautą, brandą, individualias vaiko galimybes atitinkančius ugdymo(si) pasiekimus bei pažangą, organizavo ir koordinavo ugdymo(si), švietimo ar kitos pagalbos vaikui teikimą, </w:t>
            </w:r>
            <w:r>
              <w:rPr>
                <w:szCs w:val="24"/>
              </w:rPr>
              <w:t>analizavo, derino individualaus ugdymo programas vaikams su dideliais SUP, ikimokyklinio ir priešmokyklinio ugdymo programų pritaikymo vaikams su vidutiniais SUP.</w:t>
            </w:r>
          </w:p>
          <w:p w:rsidR="00546CC2" w:rsidRDefault="00546CC2" w:rsidP="00A46480">
            <w:pPr>
              <w:jc w:val="both"/>
              <w:rPr>
                <w:szCs w:val="24"/>
              </w:rPr>
            </w:pPr>
            <w:r>
              <w:rPr>
                <w:b/>
                <w:szCs w:val="24"/>
              </w:rPr>
              <w:t xml:space="preserve">     </w:t>
            </w:r>
            <w:r>
              <w:rPr>
                <w:szCs w:val="24"/>
              </w:rPr>
              <w:t xml:space="preserve">Siekiant ugdymo kokybės, tenkinant vaikų ir tėvų poreikius, didesnis dėmesys, prioritetas buvo ne ugdytinių veiklos rezultatai, o įtraukiojo ugdymo (si) įgyvendinimas, siekiant užtikrinti kokybišką ugdymą (sį) visiems jo dalyviams. Sudominti, motyvuoti vaikus buvo taikomi inovatyvūs ugdymo metodai, projektinė veikla, naudojamos naujausios informacinės technologijos: interaktyvi lenta, SMART lenta, „video“ medžiaga, Multimedia, kompiuteriai, muzikiniai centrai, nešiojama garso kolonėlė, kopijavimo aparatai, šviesos stalai. Sukurta saugi ugdymo aplinka antrame korpuse. Rengiama ir po statybų bus ne tik saugi, bet moderni pirmo korpuso, lauko fizinė aplinka. </w:t>
            </w:r>
          </w:p>
          <w:p w:rsidR="00546CC2" w:rsidRDefault="00546CC2">
            <w:pPr>
              <w:jc w:val="both"/>
              <w:rPr>
                <w:szCs w:val="24"/>
              </w:rPr>
            </w:pPr>
            <w:r>
              <w:rPr>
                <w:b/>
                <w:szCs w:val="24"/>
              </w:rPr>
              <w:t xml:space="preserve">     </w:t>
            </w:r>
            <w:r>
              <w:rPr>
                <w:szCs w:val="24"/>
              </w:rPr>
              <w:t>Tobulėjo bendradarbiavimas su ugdytinių tėvais. Stengėmės palaikyti savitarpio supratimo ir bendradarbiavimo atmosferą tarp šeimos ir regos centro. Siekiant inovatyvių bendradarbiavimo su tėvais formų, atlikome empyrinį tyrimą, kuriame intervių metodo pagalba buvo apklausiami mokytojai. Analizuota apie informavimo technologijų panaudojimo galimybes bendradarbiavimo su tėvais procese, bendradarbiavimo, pasitelkiant informacines technologijas, naudą ir patrauklumą, veiksnius, galinčius palengvinti šį procesą ir kt. Pritaikėme naujas, patrauklias, abiems pusėms priimtinas bendradarbiavimo formas. Dažniausiai su tėvais bendraujama per elektroninę sistemą „Mūsų darželis“, Messenger, facebook, ZOOM platformą. Pedagogai lanksčiai prisitaikė prie perorganizuoto ugdymo tvarkos, tobulėjo skaitmeninis raštingumas. Tėvai buvo motyvuojami atidžiau, atsakingiau pasigilinti į savo vaikų gebėjimus ir mokėjimus. Modernizuota tėvų konsultavimo sistema, vaikų pasiekimų ir jų vertinimo lygmenyje. Sudarėme kuo palankesnes sąlygas efektyvesniam tėvų įsitraukimui į ugdymo procesą. Tėvų įsitraukimas į vaikų ugdomąją veiklą teigiamai veikia ne tik vaikų ugdymo pasiekimus bet ir ateities perspektyvą, socialinius santykius, psichinę savijautą. Todėl, labai svarbu, kad tiek mokytojai, tiek tėvai, tiek regos centras grįstų savo santykius bendradarbiavimu, tarpusavio pagarba, savitarpio supratimu.</w:t>
            </w:r>
          </w:p>
          <w:p w:rsidR="00546CC2" w:rsidRDefault="00546CC2">
            <w:pPr>
              <w:jc w:val="both"/>
              <w:rPr>
                <w:szCs w:val="24"/>
              </w:rPr>
            </w:pPr>
            <w:r>
              <w:rPr>
                <w:szCs w:val="24"/>
              </w:rPr>
              <w:t xml:space="preserve">     Aukšta pedagogų kvalifikacija: 86 proc. įstaigoje dirbančių pedagogų įgiję aukštąjį, 14 proc. aukštąjį neuniversitetinį išsilavinimą. Visi pedagogai įgiję pedagogo kvalifikaciją. Iš jų 43 proc. mokytojų įgiję specialųjį pedagoginį išsilavinimą. Pagal įgytas kvalifikacines kategorijas pasiskirstę: 36 proc. pedagogai metodininkai, 35 proc. įgiję vyresniojo pedagogo, 29 proc. mokytojai. Pedagogų amžiaus vidurkis 50 metų,  pedagoginio stažo vidurkis 24,5 metai. Sistemingai ir ženkliai tobulinama pedagogų profesinė kultūra, pedagoginės kompetencijos, gilinamos psichologinės žinios, profesinė kvalifikacija. Darbuotojai nuotoliniu būdu lankė kvalifikacinius renginius organizuojamus Panevėžio mieste, respublikoje, tobulino savo kompetencijas įvairiose srityse. 1 pedagogui iš viso tenka 8 d. kvalifikacinių renginių, iš jų informacinių technologijų srityje 4 d., vadybos klausimais lankyta 18 d. Įgyvendinant Kvalifikacijos tobulinimo programą, tobulėjo sąveika su šeima, kompiuterinis raštingumas, skaitmeninių priemonių naudojimo ugdyme kompetencijos. Pedagogų kvalifikacijai skirtos lėšos panaudotos 100 proc. Darbuotojai vertina santykius tarp kolegų, santykius su vaikų tėvais, pedagoginio personalo ir administracijos santykius, </w:t>
            </w:r>
            <w:r>
              <w:t>sudarytomis sąlygomis profesiniam tobulėjimui nuotoliniu būdu Pedagogas.lt, Panevėžio PŠC, LASUC ir kituose akredituotuose mokymo centrų mokymuose.</w:t>
            </w:r>
            <w:r>
              <w:rPr>
                <w:szCs w:val="24"/>
              </w:rPr>
              <w:t xml:space="preserve"> Darnaus personalo pagalba, esant karantinui, darbuotojai geranoriškai padėjo pasiruošti statyboms: atlaisvinti statomas patalpas, perkraustant 2 grupes į lopšelį-darželį „Draugystė“. Padidėjo darbų kiekis įgyvendinant SAM, ŠMSM  rekomendacijas, susijusias su ekstremalia situacija, organizuojant nemokamą maitinimą, maisto davinių išdalinimą. Visi darbuotojai buvo skatinami materialiai, 3 mėn. jiems buvo mokamos priemokas. </w:t>
            </w:r>
          </w:p>
          <w:p w:rsidR="00546CC2" w:rsidRDefault="00546CC2">
            <w:pPr>
              <w:jc w:val="both"/>
              <w:rPr>
                <w:szCs w:val="24"/>
              </w:rPr>
            </w:pPr>
          </w:p>
          <w:p w:rsidR="00546CC2" w:rsidRDefault="00546CC2" w:rsidP="00A87ACD">
            <w:pPr>
              <w:jc w:val="both"/>
              <w:rPr>
                <w:b/>
                <w:szCs w:val="24"/>
              </w:rPr>
            </w:pPr>
            <w:r>
              <w:rPr>
                <w:b/>
                <w:szCs w:val="24"/>
              </w:rPr>
              <w:t>2. Uždavinys. Vaiko vienodos vertės pripažinimas ir pagalba, leidžianti kiekvienam mokytis individualiu tempu, pagal galimybes, gabumus, pajėgumą, poreikius ir interesus.</w:t>
            </w:r>
          </w:p>
          <w:p w:rsidR="00546CC2" w:rsidRDefault="00546CC2">
            <w:pPr>
              <w:jc w:val="both"/>
              <w:rPr>
                <w:szCs w:val="24"/>
              </w:rPr>
            </w:pPr>
            <w:r>
              <w:rPr>
                <w:szCs w:val="24"/>
              </w:rPr>
              <w:t xml:space="preserve">     Vaikams buvo sudaryta galimybė imtis iniciatyvos ir prisiimti atsakomybę pasirenkant veiklas, atsižvelgiant į vaikų amžių, veikti savarankiškai, patiems priimti sprendimus. Pastebima, kad labiausiai jiems patinka lavinantys vaizduotę žaidimai, lavinančios stambiąją motoriką veiklos, visos meninės veiklos, bandymai, eksperimentai, pramoginiai renginiai. </w:t>
            </w:r>
          </w:p>
          <w:p w:rsidR="00546CC2" w:rsidRDefault="00546CC2">
            <w:pPr>
              <w:jc w:val="both"/>
              <w:rPr>
                <w:szCs w:val="24"/>
              </w:rPr>
            </w:pPr>
            <w:r>
              <w:rPr>
                <w:szCs w:val="24"/>
              </w:rPr>
              <w:t xml:space="preserve">    Atliekama veiklos skaida su Lietuvos regos centrais: su Šiaulių P. Avižonio regos ugdymo centru, Klaipėdos regos ugdymo centru, Kauno P .Daunio ugdymo centru, LASUC.  Aktyviai bendradarbiaujama su Sakartvelo Rustavio miesto savivaldybės ikimokyklinio ugdymo vyr. specialiste E. Khutsishvili. Per ją vyksta dalinimasis gerąja darbo patirtimi su Rustavio miesto ikimokyklinėmis įstaigomis. Pasirašyta bendradarbiavimo sutartis su Rustavio miesto lopšeliu – darželiu. Nuolat ryšiai palaikomi su Panevėžio lopšeliais-darželiais: „Vaikystė“, „Pušynėlis“, „Riešutėlis“, Gamtos mokykla, Panevėžio „Šviesos“ specialiojo ugdymo centru, Panevėžio pradine mokykla, Panevėžio miesto PPT, Panevėžio miesto PŠC.  Nuolat buvo palaikomi ryšiai su Panevėžio miesto savivaldybe, sprendžiant  Regos centro modernizavimo ir renovavimo problemos.</w:t>
            </w:r>
          </w:p>
          <w:p w:rsidR="00546CC2" w:rsidRDefault="00546CC2">
            <w:pPr>
              <w:jc w:val="both"/>
              <w:rPr>
                <w:szCs w:val="24"/>
                <w:lang w:eastAsia="lt-LT"/>
              </w:rPr>
            </w:pPr>
            <w:r>
              <w:rPr>
                <w:szCs w:val="24"/>
                <w:lang w:eastAsia="lt-LT"/>
              </w:rPr>
              <w:t>Dėl vykdomų statybų (aptverta didžioji dalis teritorijos) ir vykdomos šiluminės trasos keitimo darbų (iškasta visa teritorija), įkurtos tik kelios naujos edukacinės erdvės (2 „autobusai“, muzikos instrumentų stendas). Parengtos priemonės („vabzdžių nameliai“, „Gedimino pilis“ ir kt.), bus įrengtos kai tik bus sutvarkytas kiemas. Vidaus edukacinei, daugiafunkcinei aplinkai turtinti, įgyvendintas projektas - nupieštas piešinys (žirafa) per visą koridoriaus sieną. „Saulutės“ gr. rūbinėlėje išpiešta edukacinė daugiafunkcinė siena. Išdažyti visi antro korpuso (kur nevyksta remonto darbai) koridoriai, laiptinė, išklijuoti plytelėmis laiptai į rūsį, išdažytos rūsio sienos, suremontuoti du kabinetai. Gavus finansavimą iš savivaldybės, atlikti remonto darbai pastato 2 lauko sienų, atgrindas ir t.t.</w:t>
            </w:r>
          </w:p>
          <w:p w:rsidR="00546CC2" w:rsidRDefault="00546CC2">
            <w:pPr>
              <w:jc w:val="both"/>
              <w:rPr>
                <w:b/>
                <w:szCs w:val="24"/>
              </w:rPr>
            </w:pPr>
          </w:p>
          <w:p w:rsidR="00546CC2" w:rsidRDefault="00546CC2">
            <w:pPr>
              <w:jc w:val="both"/>
              <w:rPr>
                <w:b/>
                <w:bCs/>
                <w:szCs w:val="24"/>
              </w:rPr>
            </w:pPr>
            <w:r>
              <w:rPr>
                <w:b/>
                <w:szCs w:val="24"/>
              </w:rPr>
              <w:t xml:space="preserve">2. STRATEGINIS TIKSLAS. </w:t>
            </w:r>
            <w:r>
              <w:rPr>
                <w:b/>
                <w:bCs/>
                <w:szCs w:val="24"/>
              </w:rPr>
              <w:t>Ikimokyklinio ir priešmokyklinio ugdymo poreikių tenkinimas.</w:t>
            </w:r>
          </w:p>
          <w:p w:rsidR="00546CC2" w:rsidRDefault="00546CC2">
            <w:pPr>
              <w:jc w:val="both"/>
              <w:rPr>
                <w:b/>
                <w:bCs/>
                <w:szCs w:val="24"/>
              </w:rPr>
            </w:pPr>
            <w:r>
              <w:rPr>
                <w:b/>
                <w:bCs/>
                <w:szCs w:val="24"/>
              </w:rPr>
              <w:t>1. Uždavinys. Tobulinti ugdymo procesą, užtikrinant sėkmingą kiekvieno vaiko pasirengimą mokyklai.</w:t>
            </w:r>
          </w:p>
          <w:p w:rsidR="00546CC2" w:rsidRDefault="00546CC2">
            <w:pPr>
              <w:jc w:val="both"/>
              <w:rPr>
                <w:szCs w:val="24"/>
              </w:rPr>
            </w:pPr>
            <w:r>
              <w:rPr>
                <w:b/>
                <w:bCs/>
                <w:szCs w:val="24"/>
              </w:rPr>
              <w:t xml:space="preserve">     </w:t>
            </w:r>
            <w:r>
              <w:rPr>
                <w:szCs w:val="24"/>
              </w:rPr>
              <w:t xml:space="preserve">Užtikrinama vaikų sveikata ir saugumas, teikiamas sveikatai palankus maitinimas, padedama priešmokyklinukams pasirengti mokyklai. Puikiai, didelį įdirbį ir autoritetą bendruomenės tarpe turinčios priešmokyklinio ugdymo pedagogės, padeda priešmokyklinukams pasiruošti mokytis pradinėje mokykloje. Per pastarąjį laikotarpį vaikai į mokyklą išeina gerai pasiruošę, su teigiama mokykline motyvacija. </w:t>
            </w:r>
          </w:p>
          <w:p w:rsidR="00546CC2" w:rsidRDefault="00546CC2">
            <w:pPr>
              <w:jc w:val="both"/>
              <w:rPr>
                <w:szCs w:val="24"/>
              </w:rPr>
            </w:pPr>
            <w:r>
              <w:rPr>
                <w:b/>
                <w:bCs/>
                <w:szCs w:val="24"/>
              </w:rPr>
              <w:t xml:space="preserve">    </w:t>
            </w:r>
            <w:r>
              <w:rPr>
                <w:szCs w:val="24"/>
              </w:rPr>
              <w:t xml:space="preserve">Siekiant įgyvendinti užsibrėžtus tikslus ir uždavinius, darniai veiklą organizavo savivalda. </w:t>
            </w:r>
          </w:p>
          <w:p w:rsidR="00546CC2" w:rsidRDefault="00546CC2">
            <w:pPr>
              <w:jc w:val="both"/>
              <w:rPr>
                <w:szCs w:val="24"/>
              </w:rPr>
            </w:pPr>
            <w:r>
              <w:rPr>
                <w:szCs w:val="24"/>
              </w:rPr>
              <w:t xml:space="preserve">Regos centro taryba 8 posėdžių metu sprendė: ugdymo kokybės ir veiklos organizavimo pasiekimus, darbo su tėvais tobulinimo, programų derinimo, sveikatinimo, aplinkos saugumo ir tobulinimo klausimus, mokesčio įstaigos reikmėms, lėšų paskirstymo, panaudojimo ir atsiskaitymo už jas sritį, derino mokytojų ir pagalbos specialistų atestacijos programą, specialiųjų ugdymosi poreikių ugdytinių sąrašus, priemokų paskirstymo darbuotojams, VGK, psichologo veiklos ir 2019 m. veiklos ataskaitą, 2020 m. veiklos planą. </w:t>
            </w:r>
          </w:p>
          <w:p w:rsidR="00546CC2" w:rsidRDefault="00546CC2">
            <w:pPr>
              <w:jc w:val="both"/>
              <w:rPr>
                <w:szCs w:val="24"/>
              </w:rPr>
            </w:pPr>
            <w:r>
              <w:rPr>
                <w:szCs w:val="24"/>
              </w:rPr>
              <w:t xml:space="preserve">     Mokytojų taryba 11 posėdžių metu: analizavo 2019 m. ugdomosios veiklos rezultatus, svarstė mokinio krepšelio lėšų tikslingo panaudojimo pedagogų kvalifikacijai kelti klausimą, vaiko kultūros ugdymo grupėse, prevencinės veiklos integravimo į ugdymo procesą, SUP mokinių ugdymo (si) aplinkos, sąlygų tobulinimo, vaikų pažangos ir pasiekimų vertinimo dinamiką ir rezultatus, paslaugų kokybės klausimus. Derino Priešmokyklinio ugdymo planą 2020-2021 m. m., Mokytojų ir pagalbos mokiniui specialistų atestacijos programą 2021-2023 m., SUP mokinių, kuriems reikalinga specialistų pagalba, sąrašus. </w:t>
            </w:r>
          </w:p>
          <w:p w:rsidR="00546CC2" w:rsidRDefault="00546CC2">
            <w:pPr>
              <w:jc w:val="both"/>
              <w:rPr>
                <w:szCs w:val="24"/>
              </w:rPr>
            </w:pPr>
            <w:r>
              <w:rPr>
                <w:szCs w:val="24"/>
              </w:rPr>
              <w:t xml:space="preserve">    Mokytojai, metodinių užsiėmimų  metu, gilino kompetencijas: apie mergaičių ir berniukų ugdymo skirtybės, informacinių technologijų naudojimo ugdymui, nuotolinio ugdymo galimybės, būdus, rezultatus, prevencinės veiklos integravimo į ugdymo turinį galimybes, vaiko kultūros ugdymo regos centre klausimą. Suformuotos komandos iš pedagogų, dirbančių l/d „Draugystė“ ir Regos centro „Linelis“  savitarpio pagalbai ir grįžtamajam ryšiui užtikrinti „Kolega-kolegai“. Visi įstaigos pedagogai 2020-11-19 dalyvavo ilgalaikės programos „Besimokanti organizacija pokyčių kelyje“ mokymuose „Tarpusavio ryšių stiprinimas bendruomenėje“. Įgyti mokėjimai ir įgūdžiai pritaikomi praktinėje veikloje. Pravestos atviros pamokos 13 klasei: 2020-02-03 „Interaktyvios lentos taikymas ugdymo procese“, 2020-12-10 „Bitelė ratuota“, organizuotos metodinės dienos: 2020-06-10 „Draugauk su naujausiomis technologijomis“, 2020-10-15 „Padėk draugui“. </w:t>
            </w:r>
          </w:p>
          <w:p w:rsidR="00546CC2" w:rsidRDefault="00546CC2">
            <w:pPr>
              <w:jc w:val="both"/>
              <w:rPr>
                <w:szCs w:val="24"/>
              </w:rPr>
            </w:pPr>
            <w:r>
              <w:rPr>
                <w:szCs w:val="24"/>
              </w:rPr>
              <w:t xml:space="preserve">    Įstaigoje iki karantino buvo vykdomas neformalus ugdymas: vyko krepšinio, futbolo, šokių treniruotės, veikė Robotikos ir Anglų k. būreliai. </w:t>
            </w:r>
          </w:p>
          <w:p w:rsidR="00546CC2" w:rsidRDefault="00546CC2">
            <w:pPr>
              <w:jc w:val="both"/>
              <w:rPr>
                <w:szCs w:val="24"/>
              </w:rPr>
            </w:pPr>
            <w:r>
              <w:rPr>
                <w:szCs w:val="24"/>
              </w:rPr>
              <w:t xml:space="preserve">    Darbo taryba derino strateginį, 2020 metų veiklos planus, darbuotojų grafikus, sprendė įvairius klausimus susijusius etatais, darbuotojų darbo sąlygomis, priemokomis prie atlyginimo, mokesčio įstaigos reikmėms, lėšų paskirstymo, panaudojimo ir atsiskaitymo  ir kitas tvarkas.</w:t>
            </w:r>
          </w:p>
          <w:p w:rsidR="00546CC2" w:rsidRDefault="00546CC2">
            <w:pPr>
              <w:jc w:val="both"/>
              <w:rPr>
                <w:szCs w:val="24"/>
              </w:rPr>
            </w:pPr>
            <w:r>
              <w:rPr>
                <w:szCs w:val="24"/>
              </w:rPr>
              <w:t xml:space="preserve">    Įgyvendinti respublikiniai projektai:</w:t>
            </w:r>
          </w:p>
          <w:p w:rsidR="00546CC2" w:rsidRDefault="00546CC2">
            <w:pPr>
              <w:jc w:val="both"/>
              <w:rPr>
                <w:szCs w:val="24"/>
              </w:rPr>
            </w:pPr>
            <w:r>
              <w:t xml:space="preserve">     Skatinama sveika gyvensena, sveika mityba ir aktyvus fizinis judėjimas, dalyvauta įvairiuose sveikatos projektuose </w:t>
            </w:r>
            <w:r>
              <w:rPr>
                <w:szCs w:val="24"/>
              </w:rPr>
              <w:t>„Sveikas kaip ridikas“, „Sveikatiada“, ,,Mažieji turistai“, aplinkosauginiame projekte „Už vieną trupinėlį, čiulbėsiu visą vasarėlę“.  Dalyvaujama ES ir nacionalinio biudžeto lėšomis finansuojamoje programoje ,,Pienas vaikams“ ir Europos Bendrijos finansuojamoje programoje ,,Vaisių vartojimo skatinimo mokyklose programoje“.</w:t>
            </w:r>
          </w:p>
          <w:p w:rsidR="00546CC2" w:rsidRDefault="00546CC2">
            <w:pPr>
              <w:jc w:val="both"/>
              <w:rPr>
                <w:szCs w:val="24"/>
              </w:rPr>
            </w:pPr>
            <w:r>
              <w:rPr>
                <w:szCs w:val="24"/>
              </w:rPr>
              <w:t xml:space="preserve">    Regos centro mastu organizuoti projektai: „Žemės dienos renginiai“, ,,Augsiu sveikas kaip ridikas“, „Rudens puokštė“, „Mano baltoji palangė“, „Judėjimo džiaugsmas”. Parengta tęstinė Sveikatos ugdymo programa „Noriu augti sveikas ir stiprus“  2021-2022 m.  </w:t>
            </w:r>
          </w:p>
          <w:p w:rsidR="00546CC2" w:rsidRDefault="00546CC2">
            <w:pPr>
              <w:jc w:val="both"/>
              <w:rPr>
                <w:szCs w:val="24"/>
              </w:rPr>
            </w:pPr>
            <w:r>
              <w:rPr>
                <w:szCs w:val="24"/>
              </w:rPr>
              <w:t>Įstaigoje organizuotos kalendorinės ir kitos šventės, renginiai: „Judėkime linksmai“, „Vainikėlį pyniau – ant galvelės dėjau“, ,,Mes – Lietuvos vaikai“, Rudenėlio šventė ,,Kuriu mandalą“.</w:t>
            </w:r>
          </w:p>
          <w:p w:rsidR="00546CC2" w:rsidRDefault="00546CC2">
            <w:pPr>
              <w:jc w:val="both"/>
              <w:rPr>
                <w:szCs w:val="24"/>
              </w:rPr>
            </w:pPr>
            <w:r>
              <w:rPr>
                <w:szCs w:val="24"/>
              </w:rPr>
              <w:t xml:space="preserve">    Dalyvauta respublikos, miesto mastu organizuojamose parodose: kūrybinių darbų nuotraukų paroda ,,Ką rudens gėrybės slepia“, ,,Muzikos instrumentai iš antrinių žaliavų”, vaikų kūrybinių darbų nuotraukų parodoje ,,Ką rudens gėrybės slepia“. Gautos padėkos.</w:t>
            </w:r>
          </w:p>
          <w:p w:rsidR="00546CC2" w:rsidRDefault="00546CC2">
            <w:pPr>
              <w:jc w:val="both"/>
              <w:rPr>
                <w:szCs w:val="24"/>
              </w:rPr>
            </w:pPr>
            <w:r>
              <w:rPr>
                <w:szCs w:val="24"/>
              </w:rPr>
              <w:t xml:space="preserve">    Į ugdymo turinį integruojamos etnokultūros, „Ikimokyklinio amžiaus vaikų Lietuvių valstybinės kalbos“ ir kitos programos. Įstaigos 11 pedagogų tęsia veiklą Lietuvos ikimokyklinių įstaigų darbuotojų asociacijoje „Sveikatos želmenėliai“. </w:t>
            </w:r>
          </w:p>
          <w:p w:rsidR="00546CC2" w:rsidRDefault="00546CC2">
            <w:pPr>
              <w:jc w:val="both"/>
              <w:rPr>
                <w:szCs w:val="24"/>
              </w:rPr>
            </w:pPr>
            <w:r>
              <w:rPr>
                <w:szCs w:val="24"/>
              </w:rPr>
              <w:t xml:space="preserve">    Mokytojai darbo patirtimi dalinosi su bendrojo lavinimo mokyklų mokytojais: </w:t>
            </w:r>
          </w:p>
          <w:p w:rsidR="00546CC2" w:rsidRDefault="00546CC2">
            <w:pPr>
              <w:jc w:val="both"/>
              <w:rPr>
                <w:szCs w:val="24"/>
              </w:rPr>
            </w:pPr>
            <w:r>
              <w:rPr>
                <w:szCs w:val="24"/>
              </w:rPr>
              <w:t>teorinė ir praktinė veikla apie akis, regėjimą organizuota Panevėžio r. Naujamiesčio lopšelyje-darželyje „Bitutė“ 2020-10-07, pravesta valandėlė apie regą Panevėžio specialiosios mokyklos-daugiafunkcinio centro vaikams 2020-10-28, skaitytas pranešimas „Vaikų fizinis aktyvumas – nauda sveikatai ir smagi pramoga“ konferencijoje „Judesio svarba mokymui(si), elgesio ir emocijų valdymui“ PPT 2020-12-21. Dalintasi gerąja darbo patirtimi su Lietuvos ikimokyklinių įstaigų darbuotojų asociacijos „Sveikatos želmenėliai“ įstaigomis narėmis. Parengti ir publikuojami straipsniai „Kad akys geriau matytų“, „Bitelė ratuota“.</w:t>
            </w:r>
          </w:p>
          <w:p w:rsidR="00546CC2" w:rsidRDefault="00546CC2">
            <w:pPr>
              <w:jc w:val="both"/>
              <w:rPr>
                <w:szCs w:val="24"/>
              </w:rPr>
            </w:pPr>
          </w:p>
          <w:p w:rsidR="00546CC2" w:rsidRDefault="00546CC2">
            <w:pPr>
              <w:jc w:val="both"/>
              <w:rPr>
                <w:b/>
                <w:bCs/>
                <w:szCs w:val="24"/>
              </w:rPr>
            </w:pPr>
            <w:r>
              <w:rPr>
                <w:b/>
                <w:bCs/>
                <w:szCs w:val="24"/>
              </w:rPr>
              <w:t>2. Uždavinys. Įtraukti kuo daugiau tėvų į vaikų gyvenimą regos centre ir organizuoti konsultacijas tėvams aktualiais vaikų ugdymo, emocinės, psichinės ir fizinės sveikatos, psichologijos klausimais.</w:t>
            </w:r>
          </w:p>
          <w:p w:rsidR="00546CC2" w:rsidRDefault="00546CC2">
            <w:pPr>
              <w:jc w:val="both"/>
              <w:rPr>
                <w:szCs w:val="24"/>
              </w:rPr>
            </w:pPr>
            <w:r>
              <w:t xml:space="preserve">     Atlikus vidinės 2020 m. veiklos įsivertinimą</w:t>
            </w:r>
            <w:r>
              <w:rPr>
                <w:szCs w:val="24"/>
              </w:rPr>
              <w:t xml:space="preserve"> paaiškėjo, kad tėvai vertina: personalo šiltus santykius su vaikais ir jų tėvais, glaudžius ryšius vykdant nuotolinį sinchroninį ir asinchroninį ugdymą. Palankiai atsiliepia apie ugdymo programą „Po vaikystės šalį“, bei suprantamai, profesionaliai planuojamą savaitinį ugdymo turinį. Didžiąją dalį tėvų tenkina kūrybiškai organizuojamos bendruomenės šventės, nors jų statybų ir karantino metu ribotas kiekis, vaikų veiklos, pedagogų nuolatinis bendravimas informacinėmis priemonėmis, teikiant užfiksuotas ugdymo akimirkas nuotraukose, filmukuose. . Parengta nauja tėvų konsultavimo sistema. </w:t>
            </w:r>
          </w:p>
          <w:p w:rsidR="00546CC2" w:rsidRDefault="00546CC2">
            <w:pPr>
              <w:jc w:val="both"/>
              <w:rPr>
                <w:szCs w:val="24"/>
              </w:rPr>
            </w:pPr>
            <w:r>
              <w:rPr>
                <w:szCs w:val="24"/>
              </w:rPr>
              <w:t xml:space="preserve">     Dėl vykstančių statybos, šiluminės trasos keitimo darbų, dvi grupės veiklą vykdė Panevėžio lopšelyje – darželyje „Draugystė“, ir dėl karantino, nebuvo organizuojamas visuotinis tėvų susirinkimas, nevyko tradicinės šventės „Žibintų“ šventė, Kalėdiniai pasakų vakarai ir t.t. Tačiau, visi tėvai pritarė regos centro modernizacijai, su nekantrumu laukia, kad galės sugrįžti į Regos centrą ir bus tęsiami tradiciniai renginiai.</w:t>
            </w:r>
          </w:p>
          <w:p w:rsidR="00546CC2" w:rsidRDefault="00546CC2">
            <w:pPr>
              <w:jc w:val="both"/>
              <w:rPr>
                <w:szCs w:val="24"/>
              </w:rPr>
            </w:pPr>
            <w:r>
              <w:rPr>
                <w:szCs w:val="24"/>
              </w:rPr>
              <w:t xml:space="preserve">    Įstaigos psichologė vedė konsultacijas tėvams, teikė pagalbą vaikams. </w:t>
            </w:r>
          </w:p>
          <w:p w:rsidR="00546CC2" w:rsidRDefault="00546CC2">
            <w:pPr>
              <w:jc w:val="both"/>
              <w:rPr>
                <w:szCs w:val="24"/>
              </w:rPr>
            </w:pPr>
          </w:p>
          <w:p w:rsidR="00546CC2" w:rsidRDefault="00546CC2">
            <w:pPr>
              <w:rPr>
                <w:b/>
                <w:bCs/>
                <w:szCs w:val="24"/>
              </w:rPr>
            </w:pPr>
            <w:r>
              <w:rPr>
                <w:b/>
                <w:bCs/>
                <w:szCs w:val="24"/>
              </w:rPr>
              <w:t xml:space="preserve">3. Tikslas. Patrauklios ugdymui (si) materialinės bazės kūrimas. </w:t>
            </w:r>
          </w:p>
          <w:p w:rsidR="00546CC2" w:rsidRDefault="00546CC2">
            <w:pPr>
              <w:rPr>
                <w:b/>
                <w:bCs/>
                <w:szCs w:val="24"/>
              </w:rPr>
            </w:pPr>
            <w:r>
              <w:rPr>
                <w:b/>
                <w:bCs/>
                <w:szCs w:val="24"/>
              </w:rPr>
              <w:t>1. Naujų, aktyvių ugdymosi erdvių kūrimas, kuriose vaikas galėtų aktyviai veikti, įgytų naujos patirties, patirtų sėkmę.</w:t>
            </w:r>
          </w:p>
          <w:p w:rsidR="00546CC2" w:rsidRDefault="00546CC2">
            <w:pPr>
              <w:jc w:val="both"/>
              <w:rPr>
                <w:szCs w:val="24"/>
              </w:rPr>
            </w:pPr>
            <w:r>
              <w:rPr>
                <w:szCs w:val="24"/>
              </w:rPr>
              <w:t xml:space="preserve">    Skatinant bendruomeniškumą, ugdytinių užimtumą, aplinkos pritaikymą ugdytinių poreikiams pasirūpinta, kad pavėsinėse būtų stalai bandymams, eksperimentams, pagaminta mobilioji biblioteka lauke, sukaupta priemonių atradimų laboratorijai, sensoriai. Atnaujinta Regos centro laiptinė. Grupės, specialistų kabinetas papildyti moderniomis sensorinėmis priemonėmis, atitinkančiomis vaikų amžių, poreikius ir interesus, edukacinę funkciją. Lauke įrengtos judrios veiklos. Įrengta nauja muzikinių instrumentų lenta.</w:t>
            </w:r>
          </w:p>
          <w:p w:rsidR="00546CC2" w:rsidRDefault="00546CC2">
            <w:pPr>
              <w:jc w:val="both"/>
              <w:rPr>
                <w:b/>
                <w:bCs/>
                <w:szCs w:val="24"/>
              </w:rPr>
            </w:pPr>
            <w:r>
              <w:rPr>
                <w:szCs w:val="24"/>
                <w:lang w:eastAsia="lt-LT"/>
              </w:rPr>
              <w:t xml:space="preserve">    Dėl vykdomų statybų (aptverta didžioji dalis teritorijos) ir vykdomos šiluminės trasos keitimo darbų (iškasta visa teritorija), įkurtos tik kelios naujos edukacinės erdvės (2 „autobusai“, muzikos instrumentų stendas). Parengtos priemonės („vabzdžių nameliai“, „Gedimino pilis“ ir kt), bus įrengtos kai tik bus sutvarkytas kiemas. Vidaus edukacinei, daugiafunkcinei aplinkai turtinti, įgyvendintas projektas - nupieštas piešinys (žirafa) per visą koridoriaus sieną. „Saulutės“ gr. rūbinėlėje išpiešta edukacinė daugiafunkcinė siena. Išdažyti visi antro korpuso (kur nevyksta remonto darbai) koridoriai, laiptinė, išklijuoti plytelėmis laiptai į rūsį, išdažytos rūsio sienos, suremontuoti du kabinetai. Gavus finansavimą iš savivaldybės, atlikti remonto darbai pastato 2 lauko sienų, atgrindas ir t.t.</w:t>
            </w:r>
          </w:p>
          <w:p w:rsidR="00546CC2" w:rsidRDefault="00546CC2">
            <w:pPr>
              <w:rPr>
                <w:b/>
                <w:bCs/>
                <w:szCs w:val="24"/>
              </w:rPr>
            </w:pPr>
          </w:p>
          <w:p w:rsidR="00546CC2" w:rsidRDefault="00546CC2">
            <w:pPr>
              <w:rPr>
                <w:b/>
                <w:bCs/>
                <w:szCs w:val="24"/>
              </w:rPr>
            </w:pPr>
            <w:r>
              <w:rPr>
                <w:b/>
                <w:bCs/>
                <w:szCs w:val="24"/>
              </w:rPr>
              <w:t>2. Uždavinys. Atnaujinti ir plėtoti materialinę ir techninę bazę.</w:t>
            </w:r>
          </w:p>
          <w:p w:rsidR="00546CC2" w:rsidRDefault="00546CC2">
            <w:pPr>
              <w:jc w:val="both"/>
              <w:rPr>
                <w:szCs w:val="24"/>
              </w:rPr>
            </w:pPr>
            <w:r>
              <w:rPr>
                <w:szCs w:val="24"/>
              </w:rPr>
              <w:t xml:space="preserve">    Lyginant su praėjusiais metais 2020 m. gauti finansiniai ištekliai sumažėjo dėl paskelbto karantino šalyje. Biudžeto lėšų, skiriamų aplinkai, nepilnai pakanka būtinoms išlaidoms finansuoti, didžiausią dalį sudaro darbuotojų atlyginimams skiriamos lėšos. Prekėms pirkti daugiausiai lėšų panaudotos mokinio krepšelio ir specialiosios lėšos, surinktos iš tėvų įstaigos reikmėms. Iš Valstybinės mokesčių inspekcijos prie LR Finansų ministerijos gautos 2182,38 eur., 2 proc. GPM paramos lėšos. Jos buvo panaudotos tik būtiniausioms reikmėms. Centras gavo nemažą rėmėjų paramą lėšomis ir priemonėmis. Paramos ir labdaros fondas „Angelo akys“ padovanojo medicininius prietaisus regos centro ugdytinių regėjimo funkcijų gerinimui. IĮ I.Krikščiūno įmonė padovanojo sienoms dažus už 279,42 eur, Buvo išdažyti visi koridoriai, laiptinės, 2 kabinetai. Už rėmėjų skirtas paramos lėšas buvo suremontuotos Regos centro patalpos, pakeista susidėvėjusi kiliminė danga, įrengtos žaliuzės. </w:t>
            </w:r>
          </w:p>
          <w:p w:rsidR="00546CC2" w:rsidRDefault="00546CC2">
            <w:pPr>
              <w:jc w:val="both"/>
              <w:rPr>
                <w:szCs w:val="24"/>
                <w:lang w:eastAsia="lt-LT"/>
              </w:rPr>
            </w:pPr>
            <w:r>
              <w:rPr>
                <w:szCs w:val="24"/>
              </w:rPr>
              <w:t xml:space="preserve">     </w:t>
            </w:r>
            <w:r>
              <w:t>Rūpinomės finansiniais ištekliais, siekėme kuo efektyviau panaudoti biudžeto ir mokinio krepšelio lėšas.</w:t>
            </w:r>
          </w:p>
          <w:p w:rsidR="00546CC2" w:rsidRDefault="00546CC2">
            <w:pPr>
              <w:jc w:val="both"/>
              <w:rPr>
                <w:szCs w:val="24"/>
              </w:rPr>
            </w:pPr>
            <w:r>
              <w:rPr>
                <w:szCs w:val="24"/>
              </w:rPr>
              <w:t>Įstaigos finansavimas.</w:t>
            </w:r>
          </w:p>
          <w:tbl>
            <w:tblPr>
              <w:tblW w:w="9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44"/>
              <w:gridCol w:w="3240"/>
              <w:gridCol w:w="3408"/>
            </w:tblGrid>
            <w:tr w:rsidR="00546CC2" w:rsidTr="00B47FB3">
              <w:tc>
                <w:tcPr>
                  <w:tcW w:w="3244" w:type="dxa"/>
                  <w:tcBorders>
                    <w:top w:val="single" w:sz="4" w:space="0" w:color="auto"/>
                    <w:left w:val="single" w:sz="4" w:space="0" w:color="auto"/>
                    <w:bottom w:val="single" w:sz="4" w:space="0" w:color="auto"/>
                    <w:right w:val="single" w:sz="4" w:space="0" w:color="auto"/>
                  </w:tcBorders>
                </w:tcPr>
                <w:p w:rsidR="00546CC2" w:rsidRDefault="00546CC2">
                  <w:pPr>
                    <w:rPr>
                      <w:szCs w:val="24"/>
                    </w:rPr>
                  </w:pPr>
                  <w:r>
                    <w:rPr>
                      <w:szCs w:val="24"/>
                    </w:rPr>
                    <w:t>Finansavimo šaltiniai</w:t>
                  </w:r>
                </w:p>
              </w:tc>
              <w:tc>
                <w:tcPr>
                  <w:tcW w:w="3240" w:type="dxa"/>
                  <w:tcBorders>
                    <w:top w:val="single" w:sz="4" w:space="0" w:color="auto"/>
                    <w:left w:val="single" w:sz="4" w:space="0" w:color="auto"/>
                    <w:bottom w:val="single" w:sz="4" w:space="0" w:color="auto"/>
                    <w:right w:val="single" w:sz="4" w:space="0" w:color="auto"/>
                  </w:tcBorders>
                </w:tcPr>
                <w:p w:rsidR="00546CC2" w:rsidRDefault="00546CC2">
                  <w:pPr>
                    <w:jc w:val="center"/>
                    <w:rPr>
                      <w:szCs w:val="24"/>
                    </w:rPr>
                  </w:pPr>
                  <w:r>
                    <w:rPr>
                      <w:szCs w:val="24"/>
                    </w:rPr>
                    <w:t>Asignavimai 2019 m.(tūkst. Eur.)</w:t>
                  </w:r>
                </w:p>
              </w:tc>
              <w:tc>
                <w:tcPr>
                  <w:tcW w:w="3408" w:type="dxa"/>
                  <w:tcBorders>
                    <w:top w:val="single" w:sz="4" w:space="0" w:color="auto"/>
                    <w:left w:val="single" w:sz="4" w:space="0" w:color="auto"/>
                    <w:bottom w:val="single" w:sz="4" w:space="0" w:color="auto"/>
                    <w:right w:val="single" w:sz="4" w:space="0" w:color="auto"/>
                  </w:tcBorders>
                </w:tcPr>
                <w:p w:rsidR="00546CC2" w:rsidRDefault="00546CC2">
                  <w:pPr>
                    <w:jc w:val="center"/>
                    <w:rPr>
                      <w:szCs w:val="24"/>
                    </w:rPr>
                  </w:pPr>
                  <w:r>
                    <w:rPr>
                      <w:szCs w:val="24"/>
                    </w:rPr>
                    <w:t>Asignavimai 2020 m.(tūkst. Eur.)</w:t>
                  </w:r>
                </w:p>
              </w:tc>
            </w:tr>
            <w:tr w:rsidR="00546CC2" w:rsidTr="00B47FB3">
              <w:tc>
                <w:tcPr>
                  <w:tcW w:w="3244" w:type="dxa"/>
                  <w:tcBorders>
                    <w:top w:val="single" w:sz="4" w:space="0" w:color="auto"/>
                    <w:left w:val="single" w:sz="4" w:space="0" w:color="auto"/>
                    <w:bottom w:val="single" w:sz="4" w:space="0" w:color="auto"/>
                    <w:right w:val="single" w:sz="4" w:space="0" w:color="auto"/>
                  </w:tcBorders>
                </w:tcPr>
                <w:p w:rsidR="00546CC2" w:rsidRDefault="00546CC2">
                  <w:pPr>
                    <w:rPr>
                      <w:szCs w:val="24"/>
                    </w:rPr>
                  </w:pPr>
                  <w:r>
                    <w:rPr>
                      <w:szCs w:val="24"/>
                    </w:rPr>
                    <w:t>Savivaldybės biudžeto lėšos</w:t>
                  </w:r>
                </w:p>
              </w:tc>
              <w:tc>
                <w:tcPr>
                  <w:tcW w:w="3240" w:type="dxa"/>
                  <w:tcBorders>
                    <w:top w:val="single" w:sz="4" w:space="0" w:color="auto"/>
                    <w:left w:val="single" w:sz="4" w:space="0" w:color="auto"/>
                    <w:bottom w:val="single" w:sz="4" w:space="0" w:color="auto"/>
                    <w:right w:val="single" w:sz="4" w:space="0" w:color="auto"/>
                  </w:tcBorders>
                </w:tcPr>
                <w:p w:rsidR="00546CC2" w:rsidRDefault="00546CC2">
                  <w:pPr>
                    <w:jc w:val="center"/>
                    <w:rPr>
                      <w:szCs w:val="24"/>
                    </w:rPr>
                  </w:pPr>
                  <w:r>
                    <w:rPr>
                      <w:szCs w:val="24"/>
                    </w:rPr>
                    <w:t>336,1</w:t>
                  </w:r>
                </w:p>
              </w:tc>
              <w:tc>
                <w:tcPr>
                  <w:tcW w:w="3408" w:type="dxa"/>
                  <w:tcBorders>
                    <w:top w:val="single" w:sz="4" w:space="0" w:color="auto"/>
                    <w:left w:val="single" w:sz="4" w:space="0" w:color="auto"/>
                    <w:bottom w:val="single" w:sz="4" w:space="0" w:color="auto"/>
                    <w:right w:val="single" w:sz="4" w:space="0" w:color="auto"/>
                  </w:tcBorders>
                </w:tcPr>
                <w:p w:rsidR="00546CC2" w:rsidRDefault="00546CC2">
                  <w:pPr>
                    <w:jc w:val="center"/>
                    <w:rPr>
                      <w:szCs w:val="24"/>
                    </w:rPr>
                  </w:pPr>
                  <w:r>
                    <w:rPr>
                      <w:szCs w:val="24"/>
                    </w:rPr>
                    <w:t>311,8</w:t>
                  </w:r>
                </w:p>
              </w:tc>
            </w:tr>
            <w:tr w:rsidR="00546CC2" w:rsidTr="00B47FB3">
              <w:tc>
                <w:tcPr>
                  <w:tcW w:w="3244" w:type="dxa"/>
                  <w:tcBorders>
                    <w:top w:val="single" w:sz="4" w:space="0" w:color="auto"/>
                    <w:left w:val="single" w:sz="4" w:space="0" w:color="auto"/>
                    <w:bottom w:val="single" w:sz="4" w:space="0" w:color="auto"/>
                    <w:right w:val="single" w:sz="4" w:space="0" w:color="auto"/>
                  </w:tcBorders>
                </w:tcPr>
                <w:p w:rsidR="00546CC2" w:rsidRDefault="00546CC2">
                  <w:pPr>
                    <w:rPr>
                      <w:szCs w:val="24"/>
                    </w:rPr>
                  </w:pPr>
                  <w:r>
                    <w:rPr>
                      <w:szCs w:val="24"/>
                    </w:rPr>
                    <w:t>Europos Sąjungos paramos lėšos ES</w:t>
                  </w:r>
                </w:p>
              </w:tc>
              <w:tc>
                <w:tcPr>
                  <w:tcW w:w="3240" w:type="dxa"/>
                  <w:tcBorders>
                    <w:top w:val="single" w:sz="4" w:space="0" w:color="auto"/>
                    <w:left w:val="single" w:sz="4" w:space="0" w:color="auto"/>
                    <w:bottom w:val="single" w:sz="4" w:space="0" w:color="auto"/>
                    <w:right w:val="single" w:sz="4" w:space="0" w:color="auto"/>
                  </w:tcBorders>
                </w:tcPr>
                <w:p w:rsidR="00546CC2" w:rsidRDefault="00546CC2">
                  <w:pPr>
                    <w:jc w:val="center"/>
                    <w:rPr>
                      <w:szCs w:val="24"/>
                    </w:rPr>
                  </w:pPr>
                  <w:r>
                    <w:rPr>
                      <w:szCs w:val="24"/>
                    </w:rPr>
                    <w:t>0,00</w:t>
                  </w:r>
                </w:p>
              </w:tc>
              <w:tc>
                <w:tcPr>
                  <w:tcW w:w="3408" w:type="dxa"/>
                  <w:tcBorders>
                    <w:top w:val="single" w:sz="4" w:space="0" w:color="auto"/>
                    <w:left w:val="single" w:sz="4" w:space="0" w:color="auto"/>
                    <w:bottom w:val="single" w:sz="4" w:space="0" w:color="auto"/>
                    <w:right w:val="single" w:sz="4" w:space="0" w:color="auto"/>
                  </w:tcBorders>
                </w:tcPr>
                <w:p w:rsidR="00546CC2" w:rsidRDefault="00546CC2">
                  <w:pPr>
                    <w:jc w:val="center"/>
                    <w:rPr>
                      <w:szCs w:val="24"/>
                    </w:rPr>
                  </w:pPr>
                  <w:r>
                    <w:rPr>
                      <w:szCs w:val="24"/>
                    </w:rPr>
                    <w:t>0</w:t>
                  </w:r>
                </w:p>
              </w:tc>
            </w:tr>
            <w:tr w:rsidR="00546CC2" w:rsidTr="00B47FB3">
              <w:tc>
                <w:tcPr>
                  <w:tcW w:w="3244" w:type="dxa"/>
                  <w:tcBorders>
                    <w:top w:val="single" w:sz="4" w:space="0" w:color="auto"/>
                    <w:left w:val="single" w:sz="4" w:space="0" w:color="auto"/>
                    <w:bottom w:val="single" w:sz="4" w:space="0" w:color="auto"/>
                    <w:right w:val="single" w:sz="4" w:space="0" w:color="auto"/>
                  </w:tcBorders>
                </w:tcPr>
                <w:p w:rsidR="00546CC2" w:rsidRDefault="00546CC2">
                  <w:pPr>
                    <w:rPr>
                      <w:szCs w:val="24"/>
                    </w:rPr>
                  </w:pPr>
                  <w:r>
                    <w:rPr>
                      <w:szCs w:val="24"/>
                    </w:rPr>
                    <w:t>Gyventojų 2/1,2 proc, ir paramos lėšos</w:t>
                  </w:r>
                </w:p>
              </w:tc>
              <w:tc>
                <w:tcPr>
                  <w:tcW w:w="3240" w:type="dxa"/>
                  <w:tcBorders>
                    <w:top w:val="single" w:sz="4" w:space="0" w:color="auto"/>
                    <w:left w:val="single" w:sz="4" w:space="0" w:color="auto"/>
                    <w:bottom w:val="single" w:sz="4" w:space="0" w:color="auto"/>
                    <w:right w:val="single" w:sz="4" w:space="0" w:color="auto"/>
                  </w:tcBorders>
                </w:tcPr>
                <w:p w:rsidR="00546CC2" w:rsidRDefault="00546CC2">
                  <w:pPr>
                    <w:jc w:val="center"/>
                    <w:rPr>
                      <w:szCs w:val="24"/>
                    </w:rPr>
                  </w:pPr>
                  <w:r>
                    <w:rPr>
                      <w:szCs w:val="24"/>
                    </w:rPr>
                    <w:t>4,7</w:t>
                  </w:r>
                </w:p>
              </w:tc>
              <w:tc>
                <w:tcPr>
                  <w:tcW w:w="3408" w:type="dxa"/>
                  <w:tcBorders>
                    <w:top w:val="single" w:sz="4" w:space="0" w:color="auto"/>
                    <w:left w:val="single" w:sz="4" w:space="0" w:color="auto"/>
                    <w:bottom w:val="single" w:sz="4" w:space="0" w:color="auto"/>
                    <w:right w:val="single" w:sz="4" w:space="0" w:color="auto"/>
                  </w:tcBorders>
                </w:tcPr>
                <w:p w:rsidR="00546CC2" w:rsidRDefault="00546CC2">
                  <w:pPr>
                    <w:jc w:val="center"/>
                    <w:rPr>
                      <w:szCs w:val="24"/>
                    </w:rPr>
                  </w:pPr>
                  <w:r>
                    <w:rPr>
                      <w:szCs w:val="24"/>
                    </w:rPr>
                    <w:t>5,1</w:t>
                  </w:r>
                </w:p>
              </w:tc>
            </w:tr>
          </w:tbl>
          <w:p w:rsidR="00546CC2" w:rsidRDefault="00546CC2">
            <w:pPr>
              <w:jc w:val="both"/>
              <w:rPr>
                <w:szCs w:val="24"/>
              </w:rPr>
            </w:pPr>
          </w:p>
        </w:tc>
      </w:tr>
    </w:tbl>
    <w:p w:rsidR="00546CC2" w:rsidRDefault="00546CC2">
      <w:pPr>
        <w:rPr>
          <w:szCs w:val="24"/>
        </w:rPr>
      </w:pPr>
    </w:p>
    <w:p w:rsidR="00546CC2" w:rsidRPr="00BA3E1E" w:rsidRDefault="00546CC2">
      <w:pPr>
        <w:rPr>
          <w:szCs w:val="24"/>
        </w:rPr>
      </w:pPr>
      <w:r>
        <w:rPr>
          <w:szCs w:val="24"/>
        </w:rPr>
        <w:t>2020 m. numatytoms priemonėms pilnai įgyvendinti trukdė vykstančios statybos, 2 grupių laikinas iškėlimas į lopšelį-darželį „Draugystė“, šiluminės trasos keitimas.</w:t>
      </w:r>
    </w:p>
    <w:sectPr w:rsidR="00546CC2" w:rsidRPr="00BA3E1E" w:rsidSect="00A87ACD">
      <w:pgSz w:w="11906" w:h="16838"/>
      <w:pgMar w:top="567" w:right="567" w:bottom="567" w:left="1418"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3E1E"/>
    <w:rsid w:val="00044C10"/>
    <w:rsid w:val="00111375"/>
    <w:rsid w:val="001F05AC"/>
    <w:rsid w:val="00294768"/>
    <w:rsid w:val="00366FA5"/>
    <w:rsid w:val="004109B8"/>
    <w:rsid w:val="004A5B2E"/>
    <w:rsid w:val="00546CC2"/>
    <w:rsid w:val="005A5A50"/>
    <w:rsid w:val="0060253E"/>
    <w:rsid w:val="006252F2"/>
    <w:rsid w:val="00A149C2"/>
    <w:rsid w:val="00A46480"/>
    <w:rsid w:val="00A87ACD"/>
    <w:rsid w:val="00B47FB3"/>
    <w:rsid w:val="00BA3E1E"/>
    <w:rsid w:val="00BA3EC8"/>
    <w:rsid w:val="00BC54D4"/>
    <w:rsid w:val="00CF5560"/>
    <w:rsid w:val="00E10B8A"/>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E1E"/>
    <w:rPr>
      <w:rFonts w:ascii="Times New Roman" w:eastAsia="Times New Roman" w:hAnsi="Times New Roman"/>
      <w:sz w:val="24"/>
      <w:szCs w:val="20"/>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80762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5</Pages>
  <Words>12282</Words>
  <Characters>7001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Valstybinių ir savivaldybių švietimo įstaigų (išskyrus aukštąsias mokyklas) vadovų, jų pavaduotojų ugdymui, ugdymą organizuojančių skyrių vedėjų veiklos vertinimo nuostatų</dc:title>
  <dc:subject/>
  <dc:creator>Linelis</dc:creator>
  <cp:keywords/>
  <dc:description/>
  <cp:lastModifiedBy>PAVADUOTOJA</cp:lastModifiedBy>
  <cp:revision>11</cp:revision>
  <dcterms:created xsi:type="dcterms:W3CDTF">2021-01-22T11:25:00Z</dcterms:created>
  <dcterms:modified xsi:type="dcterms:W3CDTF">2021-01-22T11:55:00Z</dcterms:modified>
</cp:coreProperties>
</file>