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EB561" w14:textId="77777777" w:rsidR="00D724AD" w:rsidRDefault="00D724AD">
      <w:pPr>
        <w:rPr>
          <w:b/>
          <w:sz w:val="24"/>
          <w:szCs w:val="24"/>
        </w:rPr>
      </w:pPr>
    </w:p>
    <w:p w14:paraId="50C1159E" w14:textId="77777777" w:rsidR="00D724AD" w:rsidRDefault="00D724AD">
      <w:pPr>
        <w:jc w:val="center"/>
        <w:rPr>
          <w:rFonts w:eastAsia="MS Mincho;MS Gothic"/>
          <w:b/>
          <w:sz w:val="24"/>
          <w:szCs w:val="22"/>
          <w:lang w:eastAsia="en-US"/>
        </w:rPr>
      </w:pPr>
    </w:p>
    <w:p w14:paraId="1A671DE6" w14:textId="77777777" w:rsidR="00D724AD" w:rsidRDefault="003F7766">
      <w:pPr>
        <w:ind w:firstLine="10915"/>
      </w:pPr>
      <w:r>
        <w:t>PRITARTA</w:t>
      </w:r>
    </w:p>
    <w:p w14:paraId="00F2CFAF" w14:textId="77777777" w:rsidR="00D724AD" w:rsidRDefault="003F7766">
      <w:pPr>
        <w:widowControl w:val="0"/>
        <w:ind w:firstLine="1091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Panevėžio regos centro „Linelis“</w:t>
      </w:r>
    </w:p>
    <w:p w14:paraId="7E1618DA" w14:textId="77777777" w:rsidR="00D724AD" w:rsidRDefault="003F7766">
      <w:pPr>
        <w:widowControl w:val="0"/>
        <w:ind w:firstLine="10915"/>
      </w:pPr>
      <w:r>
        <w:rPr>
          <w:color w:val="000000"/>
          <w:sz w:val="22"/>
          <w:szCs w:val="22"/>
        </w:rPr>
        <w:t xml:space="preserve">Darželio Tarybos nutarimu </w:t>
      </w:r>
    </w:p>
    <w:p w14:paraId="30C470D0" w14:textId="77777777" w:rsidR="00D724AD" w:rsidRDefault="003F7766">
      <w:pPr>
        <w:widowControl w:val="0"/>
        <w:ind w:firstLine="1091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2023 m. sausio 9  d.  </w:t>
      </w:r>
    </w:p>
    <w:p w14:paraId="7B28A61D" w14:textId="77777777" w:rsidR="00D724AD" w:rsidRDefault="003F7766">
      <w:pPr>
        <w:widowControl w:val="0"/>
        <w:ind w:firstLine="1091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protokolas Nr. 5</w:t>
      </w:r>
    </w:p>
    <w:p w14:paraId="61799C78" w14:textId="77777777" w:rsidR="00D724AD" w:rsidRDefault="00D724AD">
      <w:pPr>
        <w:jc w:val="center"/>
      </w:pPr>
    </w:p>
    <w:p w14:paraId="1174A434" w14:textId="77777777" w:rsidR="00D724AD" w:rsidRDefault="00D724AD">
      <w:pPr>
        <w:jc w:val="center"/>
        <w:rPr>
          <w:rFonts w:eastAsia="MS Mincho;MS Gothic"/>
          <w:b/>
          <w:sz w:val="24"/>
          <w:szCs w:val="22"/>
          <w:lang w:eastAsia="en-US"/>
        </w:rPr>
      </w:pPr>
    </w:p>
    <w:p w14:paraId="42CC14FD" w14:textId="77777777" w:rsidR="00D724AD" w:rsidRDefault="00D724AD">
      <w:pPr>
        <w:jc w:val="center"/>
        <w:rPr>
          <w:rFonts w:eastAsia="MS Mincho;MS Gothic"/>
          <w:b/>
          <w:sz w:val="24"/>
          <w:szCs w:val="22"/>
          <w:lang w:eastAsia="en-US"/>
        </w:rPr>
      </w:pPr>
    </w:p>
    <w:p w14:paraId="2A4E0D4C" w14:textId="77777777" w:rsidR="00D724AD" w:rsidRDefault="003F7766">
      <w:pPr>
        <w:jc w:val="center"/>
        <w:rPr>
          <w:rFonts w:eastAsia="MS Mincho;MS Gothic"/>
          <w:b/>
          <w:sz w:val="24"/>
          <w:szCs w:val="22"/>
          <w:lang w:eastAsia="en-US"/>
        </w:rPr>
      </w:pPr>
      <w:r>
        <w:rPr>
          <w:rFonts w:eastAsia="MS Mincho;MS Gothic"/>
          <w:b/>
          <w:sz w:val="24"/>
          <w:szCs w:val="22"/>
          <w:lang w:eastAsia="en-US"/>
        </w:rPr>
        <w:t>Panevėžio regos centro „Linelis“ 2023-2027 METŲ STRATEGINIS PLANAS</w:t>
      </w:r>
    </w:p>
    <w:p w14:paraId="0F60D8DB" w14:textId="77777777" w:rsidR="00D724AD" w:rsidRDefault="00D724AD">
      <w:pPr>
        <w:jc w:val="center"/>
        <w:rPr>
          <w:rFonts w:eastAsia="MS Mincho;MS Gothic"/>
          <w:b/>
          <w:sz w:val="24"/>
          <w:szCs w:val="22"/>
          <w:lang w:eastAsia="en-US"/>
        </w:rPr>
      </w:pPr>
    </w:p>
    <w:p w14:paraId="116BFE89" w14:textId="77777777" w:rsidR="00D724AD" w:rsidRDefault="00D724AD">
      <w:pPr>
        <w:jc w:val="center"/>
        <w:rPr>
          <w:rFonts w:eastAsia="MS Mincho;MS Gothic"/>
          <w:b/>
          <w:sz w:val="24"/>
          <w:szCs w:val="22"/>
          <w:lang w:eastAsia="en-US"/>
        </w:rPr>
      </w:pPr>
    </w:p>
    <w:tbl>
      <w:tblPr>
        <w:tblW w:w="15031" w:type="dxa"/>
        <w:tblInd w:w="-1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13080"/>
      </w:tblGrid>
      <w:tr w:rsidR="00D724AD" w14:paraId="4E80354C" w14:textId="77777777">
        <w:trPr>
          <w:trHeight w:val="8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0915A" w14:textId="77777777" w:rsidR="00D724AD" w:rsidRDefault="003F7766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Trumpas įstaigos pristatymas, išskirtinumas</w:t>
            </w:r>
          </w:p>
        </w:tc>
        <w:tc>
          <w:tcPr>
            <w:tcW w:w="1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523C1" w14:textId="77777777" w:rsidR="00D724AD" w:rsidRDefault="003F7766">
            <w:pPr>
              <w:pStyle w:val="prastasiniatinklio"/>
              <w:spacing w:before="240" w:after="240"/>
              <w:jc w:val="both"/>
            </w:pPr>
            <w:r>
              <w:rPr>
                <w:color w:val="000000"/>
              </w:rPr>
              <w:t xml:space="preserve">Panevėžio regos centro </w:t>
            </w:r>
            <w:r>
              <w:rPr>
                <w:color w:val="000000"/>
              </w:rPr>
              <w:t>„Linelis“ (toliau – Centras) paskirtis – ikimokyklinio ugdymo grupės įstaiga lopšelis - darželis, kita paskirtis - ikimokyklinio ugdymo grupės mokykla regos sutrikimą turintiems vaikams. Centre vykdomos programos: ikimokyklinio ugdymo programa „Po vaikystė</w:t>
            </w:r>
            <w:r>
              <w:rPr>
                <w:color w:val="000000"/>
              </w:rPr>
              <w:t>s šalį“, atnaujinta priešmokyklinio ugdymo programa. Tai vienintelė ikimokyklinio ugdymo mokykla Panevėžyje, kurioje atliekama medicininė regos sutrikimų korekcija vaikams ir teikiama tiflopedagoginė pagalba. Dirba specialistų komanda: tiflopedagogai, logo</w:t>
            </w:r>
            <w:r>
              <w:rPr>
                <w:color w:val="000000"/>
              </w:rPr>
              <w:t>pedas, spec. pedagogas, socialinis pedagogas, psichologas, judesio korekcijos specialistas. Kartą per mėnesį  gydytojas oftalmologas patikrina visų vaikų regėjimą ir paskiria regos lavinimo pratimus, kuriuos atlieka bendrosios praktikos slaugytojai. Gydyto</w:t>
            </w:r>
            <w:r>
              <w:rPr>
                <w:color w:val="000000"/>
              </w:rPr>
              <w:t>jo paslaugas apmoka paramos ir labdaros fondas „Angelo akys“. Centro tiflopedagogai (vizituojantys mokytojai), teikia tiflopedagoginę pagalbą silpnaregiams ir akliems mokiniams nuo 1,5 metų iki 21 metų nelankantiems ikimokyklinių įstaigų, negalintiems lank</w:t>
            </w:r>
            <w:r>
              <w:rPr>
                <w:color w:val="000000"/>
              </w:rPr>
              <w:t>yti bendrojo ugdymo ar specialiojo ugdymo mokyklų dėl negalios, ugdomiems namie, ar lankantiems bendrojo, ar specialiojo ugdymo mokyklas, ikimokyklines įstaigas, bet ten negaunantiems tiflopedagoginės pagalbos. Centre vykdomi įvairūs projektai, organizuoja</w:t>
            </w:r>
            <w:r>
              <w:rPr>
                <w:color w:val="000000"/>
              </w:rPr>
              <w:t>mos edukacinės programos, renginiai. Puoselėjamos tradicijos: Žibintų šventė, Šeimos diena, Trijų kartų susitikimo šventė ir kt. Centro veiklos uždaviniai: teikti kokybišką, atitinkantį vaiko poreikius ikimokyklinį, priešmokyklinį ir specialųjį ugdymą, der</w:t>
            </w:r>
            <w:r>
              <w:rPr>
                <w:color w:val="000000"/>
              </w:rPr>
              <w:t>inant bendrąjį ugdymą su specialiųjų poreikių tenkinimu. Centras yra atviras, bendradarbiaujantis su kitomis mokyklomis Lietuvoje ir užsienyje.</w:t>
            </w:r>
          </w:p>
          <w:p w14:paraId="475978E8" w14:textId="77777777" w:rsidR="00D724AD" w:rsidRDefault="00D724AD">
            <w:pPr>
              <w:snapToGrid w:val="0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D724AD" w14:paraId="3F3DB5F3" w14:textId="77777777">
        <w:trPr>
          <w:trHeight w:val="25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9765C" w14:textId="77777777" w:rsidR="00D724AD" w:rsidRDefault="003F7766">
            <w:pPr>
              <w:rPr>
                <w:rFonts w:eastAsia="Calibri"/>
                <w:color w:val="000000"/>
                <w:sz w:val="24"/>
                <w:szCs w:val="22"/>
              </w:rPr>
            </w:pPr>
            <w:r>
              <w:rPr>
                <w:rFonts w:eastAsia="Calibri"/>
                <w:color w:val="000000"/>
                <w:sz w:val="24"/>
                <w:szCs w:val="22"/>
              </w:rPr>
              <w:t>Vizija</w:t>
            </w:r>
          </w:p>
        </w:tc>
        <w:tc>
          <w:tcPr>
            <w:tcW w:w="1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E616A" w14:textId="77777777" w:rsidR="00D724AD" w:rsidRDefault="003F7766">
            <w:pPr>
              <w:pStyle w:val="prastasiniatinklio"/>
            </w:pPr>
            <w:r>
              <w:rPr>
                <w:color w:val="000000"/>
              </w:rPr>
              <w:t xml:space="preserve">Inovatyvi, besimokanti, bendradarbiaujanti įstaiga, kurioje vyrauja tolerancija, pagarba vienas </w:t>
            </w:r>
            <w:r>
              <w:rPr>
                <w:color w:val="000000"/>
              </w:rPr>
              <w:t>kitam. Puoselėjanti savo tradicijas ir kultūrą, atvira kiekvienam bendruomenės nariui, kurianti šiltą, saugią, kūrybiškumui palankią aplinką.</w:t>
            </w:r>
          </w:p>
          <w:p w14:paraId="743C0FF9" w14:textId="77777777" w:rsidR="00D724AD" w:rsidRDefault="00D724AD">
            <w:pPr>
              <w:snapToGrid w:val="0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D724AD" w14:paraId="27FBC0CC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F3BC" w14:textId="77777777" w:rsidR="00D724AD" w:rsidRDefault="003F7766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lastRenderedPageBreak/>
              <w:t>Misija</w:t>
            </w:r>
          </w:p>
        </w:tc>
        <w:tc>
          <w:tcPr>
            <w:tcW w:w="1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83F94" w14:textId="77777777" w:rsidR="00D724AD" w:rsidRDefault="003F7766">
            <w:pPr>
              <w:pStyle w:val="prastasiniatinklio"/>
            </w:pPr>
            <w:r>
              <w:rPr>
                <w:color w:val="000000"/>
              </w:rPr>
              <w:t xml:space="preserve">Sveikatą stiprinanti, ikimokyklinį,  priešmokyklinį ir specialųjį ugdymą teikianti ugdymosi </w:t>
            </w:r>
            <w:r>
              <w:rPr>
                <w:color w:val="000000"/>
              </w:rPr>
              <w:t>įstaiga, pasitikėjimo ir bendradarbiavimo principu siekianti asmenybės ūgties.</w:t>
            </w:r>
          </w:p>
        </w:tc>
      </w:tr>
      <w:tr w:rsidR="00D724AD" w14:paraId="5ECC177C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01626" w14:textId="77777777" w:rsidR="00D724AD" w:rsidRDefault="003F7766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Vertybės</w:t>
            </w:r>
          </w:p>
        </w:tc>
        <w:tc>
          <w:tcPr>
            <w:tcW w:w="1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E6095" w14:textId="77777777" w:rsidR="00D724AD" w:rsidRDefault="003F7766">
            <w:pPr>
              <w:pStyle w:val="prastasiniatinklio"/>
            </w:pPr>
            <w:r>
              <w:rPr>
                <w:color w:val="000000"/>
              </w:rPr>
              <w:t xml:space="preserve">Pagarba – sau ir šalia esančiam. Tobulėjimas – mokytis ir mokyti. Atsakomybė – už žodį, veiksmą, poelgį. Bendradarbiavimas – kartu siekti bendrų tikslų. </w:t>
            </w:r>
            <w:r>
              <w:rPr>
                <w:color w:val="000000"/>
              </w:rPr>
              <w:t>Pasitikėjimas – tu gali. </w:t>
            </w:r>
          </w:p>
        </w:tc>
      </w:tr>
      <w:tr w:rsidR="00D724AD" w14:paraId="48705AA8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DD2BA" w14:textId="77777777" w:rsidR="00D724AD" w:rsidRDefault="003F7766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Tikslai</w:t>
            </w:r>
          </w:p>
        </w:tc>
        <w:tc>
          <w:tcPr>
            <w:tcW w:w="1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A0BE0" w14:textId="77777777" w:rsidR="00D724AD" w:rsidRDefault="003F7766">
            <w:pPr>
              <w:pStyle w:val="prastasiniatinklio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1. Kokybiško ugdymo(si) užtikrinimas.</w:t>
            </w:r>
          </w:p>
          <w:p w14:paraId="16267635" w14:textId="77777777" w:rsidR="00D724AD" w:rsidRDefault="003F7766">
            <w:pPr>
              <w:pStyle w:val="prastasiniatinklio"/>
              <w:spacing w:before="0" w:after="0"/>
            </w:pPr>
            <w:r>
              <w:rPr>
                <w:color w:val="000000"/>
              </w:rPr>
              <w:t>Svarbiausi veiksniai: k</w:t>
            </w:r>
            <w:r>
              <w:t xml:space="preserve">ompetentingas pedagogas, ugdomoji veikla, orientuota į nuolatinę kaitą, edukacinė aplinka, kurioje planuojamas, organizuojamas bei inspiruojamas ugdymo </w:t>
            </w:r>
            <w:r>
              <w:t>procesas.</w:t>
            </w:r>
          </w:p>
          <w:p w14:paraId="5C917CF5" w14:textId="77777777" w:rsidR="00D724AD" w:rsidRDefault="00D724AD">
            <w:pPr>
              <w:pStyle w:val="prastasiniatinklio"/>
              <w:spacing w:before="0" w:after="0"/>
            </w:pPr>
          </w:p>
          <w:p w14:paraId="5473BB90" w14:textId="77777777" w:rsidR="00D724AD" w:rsidRDefault="003F7766">
            <w:pPr>
              <w:pStyle w:val="prastasiniatinklio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2. Inovatyvios, funkcionalios ugdymo(si) aplinkos modernizavimas. </w:t>
            </w:r>
          </w:p>
          <w:p w14:paraId="76EF671D" w14:textId="77777777" w:rsidR="00D724AD" w:rsidRDefault="003F7766">
            <w:pPr>
              <w:pStyle w:val="prastasiniatinklio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Sieksime sukurti tinkamą mokymo(si) aplinką, nes ji, šalia mokymo programų kokybės, labai svarbi ateities visuomenės narių kūrybingumui ugdyti. Kintant požiūriui į mokymą(si), jo</w:t>
            </w:r>
            <w:r>
              <w:rPr>
                <w:color w:val="000000"/>
              </w:rPr>
              <w:t xml:space="preserve"> tikslus, turinį, technologijas, turi kisti ir požiūris į aplinką, kurioje vyksta mokymo(si) procesas.</w:t>
            </w:r>
          </w:p>
          <w:p w14:paraId="5953C1A3" w14:textId="77777777" w:rsidR="00D724AD" w:rsidRDefault="00D724AD">
            <w:pPr>
              <w:pStyle w:val="prastasiniatinklio"/>
              <w:spacing w:before="0" w:after="0"/>
            </w:pPr>
          </w:p>
          <w:p w14:paraId="7D387F06" w14:textId="77777777" w:rsidR="00D724AD" w:rsidRDefault="003F7766">
            <w:pPr>
              <w:pStyle w:val="prastasiniatinklio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3. Nuolat besimokančios bendruomenės telkimas stiprinant lyderystės, bendravimo ir bendradarbiavimo kultūrą.</w:t>
            </w:r>
          </w:p>
          <w:p w14:paraId="7B6E1032" w14:textId="77777777" w:rsidR="00D724AD" w:rsidRDefault="003F7766">
            <w:pPr>
              <w:pStyle w:val="prastasiniatinklio"/>
              <w:spacing w:before="0" w:after="0"/>
            </w:pPr>
            <w:r>
              <w:rPr>
                <w:color w:val="000000"/>
              </w:rPr>
              <w:t>Tėvų bendradarbiavimas, pedagogų kompetenci</w:t>
            </w:r>
            <w:r>
              <w:rPr>
                <w:color w:val="000000"/>
              </w:rPr>
              <w:t>ja, kvalifikacija, tęstinumas su socialiniais partneriais. Respublikiniai, tarptautiniai projektai.</w:t>
            </w:r>
          </w:p>
        </w:tc>
      </w:tr>
    </w:tbl>
    <w:p w14:paraId="1952A8B0" w14:textId="77777777" w:rsidR="00D724AD" w:rsidRDefault="00D724AD">
      <w:pPr>
        <w:jc w:val="center"/>
        <w:rPr>
          <w:rFonts w:eastAsia="MS Mincho;MS Gothic"/>
          <w:b/>
          <w:sz w:val="24"/>
          <w:szCs w:val="22"/>
          <w:lang w:eastAsia="en-US"/>
        </w:rPr>
      </w:pPr>
    </w:p>
    <w:p w14:paraId="131E309F" w14:textId="77777777" w:rsidR="00D724AD" w:rsidRDefault="00D724AD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083BFE96" w14:textId="77777777" w:rsidR="00D724AD" w:rsidRDefault="003F7766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TIKSLŲ, UŽDAVINIŲ, REZULTATO (PRODUKTO) VERTINIMO KRITERIJŲ SUVESTINĖ</w:t>
      </w:r>
    </w:p>
    <w:p w14:paraId="00A2642A" w14:textId="77777777" w:rsidR="00D724AD" w:rsidRDefault="00D724AD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54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709"/>
        <w:gridCol w:w="4522"/>
        <w:gridCol w:w="3960"/>
        <w:gridCol w:w="10"/>
        <w:gridCol w:w="929"/>
        <w:gridCol w:w="1359"/>
        <w:gridCol w:w="1412"/>
        <w:gridCol w:w="1983"/>
      </w:tblGrid>
      <w:tr w:rsidR="00D724AD" w14:paraId="5BE340CC" w14:textId="77777777" w:rsidTr="00AB4FED">
        <w:trPr>
          <w:trHeight w:val="51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0E93E0D" w14:textId="77777777" w:rsidR="00D724AD" w:rsidRDefault="003F7766">
            <w:pPr>
              <w:jc w:val="center"/>
            </w:pPr>
            <w:r>
              <w:rPr>
                <w:rFonts w:eastAsia="Calibri"/>
                <w:b/>
                <w:sz w:val="24"/>
                <w:szCs w:val="22"/>
              </w:rPr>
              <w:t>Tikslo kodas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EFE6BAA" w14:textId="77777777" w:rsidR="00D724AD" w:rsidRDefault="003F7766">
            <w:pPr>
              <w:jc w:val="center"/>
            </w:pPr>
            <w:r>
              <w:rPr>
                <w:rFonts w:eastAsia="Calibri"/>
                <w:b/>
                <w:sz w:val="24"/>
                <w:szCs w:val="22"/>
              </w:rPr>
              <w:t>Uždavinio kodas</w:t>
            </w:r>
          </w:p>
        </w:tc>
        <w:tc>
          <w:tcPr>
            <w:tcW w:w="4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53033" w14:textId="77777777" w:rsidR="00D724AD" w:rsidRDefault="003F7766">
            <w:pPr>
              <w:jc w:val="center"/>
            </w:pPr>
            <w:r>
              <w:rPr>
                <w:rFonts w:eastAsia="Calibri"/>
                <w:b/>
                <w:sz w:val="24"/>
                <w:szCs w:val="22"/>
              </w:rPr>
              <w:t>Pavadinimas</w:t>
            </w:r>
          </w:p>
        </w:tc>
        <w:tc>
          <w:tcPr>
            <w:tcW w:w="7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6ED64" w14:textId="77777777" w:rsidR="00D724AD" w:rsidRDefault="003F7766">
            <w:pPr>
              <w:jc w:val="center"/>
              <w:rPr>
                <w:rFonts w:eastAsia="Calibri"/>
                <w:b/>
                <w:bCs/>
                <w:sz w:val="24"/>
                <w:szCs w:val="22"/>
              </w:rPr>
            </w:pPr>
            <w:r>
              <w:rPr>
                <w:rFonts w:eastAsia="Calibri"/>
                <w:b/>
                <w:bCs/>
                <w:sz w:val="24"/>
                <w:szCs w:val="22"/>
              </w:rPr>
              <w:t xml:space="preserve">Tikslo, uždavinio,  </w:t>
            </w:r>
          </w:p>
          <w:p w14:paraId="358DFF81" w14:textId="77777777" w:rsidR="00D724AD" w:rsidRDefault="003F7766">
            <w:pPr>
              <w:jc w:val="center"/>
            </w:pPr>
            <w:r>
              <w:rPr>
                <w:rFonts w:eastAsia="Calibri"/>
                <w:b/>
                <w:bCs/>
                <w:sz w:val="24"/>
                <w:szCs w:val="22"/>
              </w:rPr>
              <w:t xml:space="preserve">rezultato </w:t>
            </w:r>
            <w:r>
              <w:rPr>
                <w:rFonts w:eastAsia="Calibri"/>
                <w:b/>
                <w:bCs/>
                <w:sz w:val="24"/>
                <w:szCs w:val="22"/>
              </w:rPr>
              <w:t>(produkto) vertinimo kriterijaus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FBA1A" w14:textId="77777777" w:rsidR="00D724AD" w:rsidRDefault="003F7766">
            <w:pPr>
              <w:jc w:val="center"/>
              <w:rPr>
                <w:rFonts w:eastAsia="Calibri"/>
                <w:b/>
                <w:bCs/>
                <w:sz w:val="24"/>
                <w:szCs w:val="22"/>
              </w:rPr>
            </w:pPr>
            <w:r>
              <w:rPr>
                <w:rFonts w:eastAsia="Calibri"/>
                <w:b/>
                <w:bCs/>
                <w:sz w:val="24"/>
                <w:szCs w:val="22"/>
              </w:rPr>
              <w:t>Įgyvendinimo terminas</w:t>
            </w:r>
          </w:p>
        </w:tc>
      </w:tr>
      <w:tr w:rsidR="00D724AD" w14:paraId="2E24DFC2" w14:textId="77777777" w:rsidTr="00AB4FED">
        <w:trPr>
          <w:trHeight w:val="58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839CBA5" w14:textId="77777777" w:rsidR="00D724AD" w:rsidRDefault="00D724AD">
            <w:pPr>
              <w:snapToGrid w:val="0"/>
              <w:jc w:val="center"/>
              <w:rPr>
                <w:rFonts w:eastAsia="MS Mincho;MS Gothic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C46443F" w14:textId="77777777" w:rsidR="00D724AD" w:rsidRDefault="00D724AD">
            <w:pPr>
              <w:snapToGrid w:val="0"/>
              <w:jc w:val="center"/>
              <w:rPr>
                <w:rFonts w:eastAsia="MS Mincho;MS Gothic"/>
                <w:b/>
                <w:sz w:val="24"/>
                <w:szCs w:val="22"/>
                <w:lang w:eastAsia="en-US"/>
              </w:rPr>
            </w:pPr>
          </w:p>
        </w:tc>
        <w:tc>
          <w:tcPr>
            <w:tcW w:w="4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4ED6B" w14:textId="77777777" w:rsidR="00D724AD" w:rsidRDefault="00D724AD">
            <w:pPr>
              <w:snapToGrid w:val="0"/>
              <w:jc w:val="center"/>
              <w:rPr>
                <w:rFonts w:eastAsia="MS Mincho;MS Gothic"/>
                <w:b/>
                <w:sz w:val="24"/>
                <w:szCs w:val="22"/>
                <w:lang w:eastAsia="en-US"/>
              </w:rPr>
            </w:pPr>
          </w:p>
        </w:tc>
        <w:tc>
          <w:tcPr>
            <w:tcW w:w="3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4F51F" w14:textId="77777777" w:rsidR="00D724AD" w:rsidRDefault="003F7766">
            <w:pPr>
              <w:jc w:val="center"/>
            </w:pPr>
            <w:r>
              <w:rPr>
                <w:rFonts w:eastAsia="Calibri"/>
                <w:b/>
                <w:sz w:val="24"/>
                <w:szCs w:val="22"/>
              </w:rPr>
              <w:t>Pavadinimas</w:t>
            </w:r>
          </w:p>
        </w:tc>
        <w:tc>
          <w:tcPr>
            <w:tcW w:w="9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C522B" w14:textId="77777777" w:rsidR="00D724AD" w:rsidRDefault="003F7766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>
              <w:rPr>
                <w:rFonts w:eastAsia="Calibri"/>
                <w:b/>
                <w:sz w:val="24"/>
                <w:szCs w:val="22"/>
              </w:rPr>
              <w:t>Mato vnt.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92664" w14:textId="77777777" w:rsidR="00D724AD" w:rsidRDefault="003F7766">
            <w:pPr>
              <w:jc w:val="center"/>
              <w:rPr>
                <w:rFonts w:eastAsia="MS Mincho;MS Gothic"/>
                <w:b/>
                <w:sz w:val="24"/>
                <w:szCs w:val="22"/>
                <w:lang w:eastAsia="en-US"/>
              </w:rPr>
            </w:pPr>
            <w:r>
              <w:rPr>
                <w:rFonts w:eastAsia="MS Mincho;MS Gothic"/>
                <w:b/>
                <w:sz w:val="24"/>
                <w:szCs w:val="22"/>
                <w:lang w:eastAsia="en-US"/>
              </w:rPr>
              <w:t>Rodiklių reikšmė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2C463" w14:textId="77777777" w:rsidR="00D724AD" w:rsidRDefault="00D724AD">
            <w:pPr>
              <w:snapToGrid w:val="0"/>
              <w:jc w:val="center"/>
              <w:rPr>
                <w:rFonts w:eastAsia="MS Mincho;MS Gothic"/>
                <w:b/>
                <w:sz w:val="24"/>
                <w:szCs w:val="22"/>
              </w:rPr>
            </w:pPr>
          </w:p>
        </w:tc>
      </w:tr>
      <w:tr w:rsidR="00AB4FED" w14:paraId="0F60BE98" w14:textId="77777777" w:rsidTr="00AB4FED">
        <w:trPr>
          <w:trHeight w:val="1066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7A8EE7E" w14:textId="77777777" w:rsidR="00D724AD" w:rsidRDefault="00D724AD">
            <w:pPr>
              <w:snapToGrid w:val="0"/>
              <w:jc w:val="center"/>
              <w:rPr>
                <w:rFonts w:eastAsia="MS Mincho;MS Gothic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6D22986" w14:textId="77777777" w:rsidR="00D724AD" w:rsidRDefault="00D724AD">
            <w:pPr>
              <w:snapToGrid w:val="0"/>
              <w:jc w:val="center"/>
              <w:rPr>
                <w:rFonts w:eastAsia="MS Mincho;MS Gothic"/>
                <w:b/>
                <w:sz w:val="24"/>
                <w:szCs w:val="22"/>
                <w:lang w:eastAsia="en-US"/>
              </w:rPr>
            </w:pPr>
          </w:p>
        </w:tc>
        <w:tc>
          <w:tcPr>
            <w:tcW w:w="4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FB3AD" w14:textId="77777777" w:rsidR="00D724AD" w:rsidRDefault="00D724AD">
            <w:pPr>
              <w:snapToGrid w:val="0"/>
              <w:jc w:val="center"/>
              <w:rPr>
                <w:rFonts w:eastAsia="MS Mincho;MS Gothic"/>
                <w:b/>
                <w:sz w:val="24"/>
                <w:szCs w:val="22"/>
                <w:lang w:eastAsia="en-US"/>
              </w:rPr>
            </w:pPr>
          </w:p>
        </w:tc>
        <w:tc>
          <w:tcPr>
            <w:tcW w:w="3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CBDF3" w14:textId="77777777" w:rsidR="00D724AD" w:rsidRDefault="00D724AD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</w:tc>
        <w:tc>
          <w:tcPr>
            <w:tcW w:w="9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005C5" w14:textId="77777777" w:rsidR="00D724AD" w:rsidRDefault="00D724AD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A1F06" w14:textId="77777777" w:rsidR="00D724AD" w:rsidRDefault="003F7766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>
              <w:rPr>
                <w:rFonts w:eastAsia="Calibri"/>
                <w:b/>
                <w:sz w:val="24"/>
                <w:szCs w:val="22"/>
              </w:rPr>
              <w:t>Faktinė reikšmė, rezultatas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4F576" w14:textId="77777777" w:rsidR="00D724AD" w:rsidRDefault="003F7766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>
              <w:rPr>
                <w:rFonts w:eastAsia="Calibri"/>
                <w:b/>
                <w:sz w:val="24"/>
                <w:szCs w:val="22"/>
              </w:rPr>
              <w:t>Siektina reikšmė, rezultatas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95FE6" w14:textId="77777777" w:rsidR="00D724AD" w:rsidRDefault="00D724AD">
            <w:pPr>
              <w:snapToGrid w:val="0"/>
              <w:jc w:val="center"/>
              <w:rPr>
                <w:rFonts w:eastAsia="MS Mincho;MS Gothic"/>
                <w:b/>
                <w:sz w:val="24"/>
                <w:szCs w:val="22"/>
              </w:rPr>
            </w:pPr>
          </w:p>
        </w:tc>
      </w:tr>
      <w:tr w:rsidR="00AB4FED" w14:paraId="522187DA" w14:textId="77777777" w:rsidTr="00AB4FED">
        <w:trPr>
          <w:trHeight w:val="30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C7E00" w14:textId="77777777" w:rsidR="00AB4FED" w:rsidRDefault="00AB4FED">
            <w:pPr>
              <w:jc w:val="center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01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A82FD" w14:textId="77777777" w:rsidR="00AB4FED" w:rsidRDefault="00AB4FED">
            <w:pPr>
              <w:snapToGrid w:val="0"/>
            </w:pPr>
            <w:r>
              <w:rPr>
                <w:rFonts w:eastAsia="MS Mincho;MS Gothic"/>
                <w:b/>
                <w:bCs/>
                <w:sz w:val="24"/>
                <w:szCs w:val="22"/>
                <w:lang w:eastAsia="en-US"/>
              </w:rPr>
              <w:t>Kokybiško ugdymo(si) užtikrinimas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</w:tcPr>
          <w:p w14:paraId="5886F8CA" w14:textId="0F08F696" w:rsidR="00AB4FED" w:rsidRPr="00AB4FED" w:rsidRDefault="00147CA6" w:rsidP="006A54E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Vaikų padariusių pažangą dalis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</w:tcPr>
          <w:p w14:paraId="25ADD3BA" w14:textId="4C5CC21C" w:rsidR="00AB4FED" w:rsidRPr="00AB4FED" w:rsidRDefault="006A54E8" w:rsidP="00AB4F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</w:t>
            </w:r>
            <w:r w:rsidR="00AB4FED">
              <w:rPr>
                <w:sz w:val="24"/>
                <w:szCs w:val="24"/>
              </w:rPr>
              <w:t>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</w:tcPr>
          <w:p w14:paraId="0DD3C6B5" w14:textId="3619714E" w:rsidR="00AB4FED" w:rsidRPr="00AB4FED" w:rsidRDefault="00147CA6" w:rsidP="00AB4F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rFonts w:eastAsia="Calibri"/>
                <w:sz w:val="24"/>
                <w:szCs w:val="22"/>
                <w:lang w:eastAsia="en-US"/>
              </w:rPr>
              <w:t>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6540BE4C" w14:textId="58BF1870" w:rsidR="00AB4FED" w:rsidRPr="00AB4FED" w:rsidRDefault="00147CA6" w:rsidP="00AB4F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>
              <w:rPr>
                <w:rFonts w:eastAsia="Calibri"/>
                <w:sz w:val="24"/>
                <w:szCs w:val="22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01E91" w14:textId="25A5D09C" w:rsidR="00AB4FED" w:rsidRPr="00AB4FED" w:rsidRDefault="00AB4FED" w:rsidP="00AB4FED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4FED">
              <w:rPr>
                <w:rFonts w:eastAsia="Calibri"/>
                <w:sz w:val="24"/>
                <w:szCs w:val="24"/>
                <w:lang w:eastAsia="en-US"/>
              </w:rPr>
              <w:t>2023-2027</w:t>
            </w:r>
          </w:p>
        </w:tc>
      </w:tr>
      <w:tr w:rsidR="00AB4FED" w14:paraId="1DCA73E9" w14:textId="77777777" w:rsidTr="00AB4F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5949A" w14:textId="77777777" w:rsidR="00D724AD" w:rsidRDefault="003F7766">
            <w:pPr>
              <w:jc w:val="center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2D30E" w14:textId="77777777" w:rsidR="00D724AD" w:rsidRDefault="003F7766">
            <w:pPr>
              <w:jc w:val="center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01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78459" w14:textId="77777777" w:rsidR="00D724AD" w:rsidRDefault="003F7766">
            <w:pPr>
              <w:pStyle w:val="prastasiniatinklio"/>
              <w:spacing w:before="0" w:after="0"/>
              <w:jc w:val="both"/>
            </w:pPr>
            <w:r>
              <w:t>Gerinti ikimokyklinio ir priešmokyklinio ugdymo programų įgyvendinimą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D1004" w14:textId="77777777" w:rsidR="00D724AD" w:rsidRDefault="003F7766">
            <w:pPr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Grupių skaičius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C4073" w14:textId="77777777" w:rsidR="00D724AD" w:rsidRDefault="003F7766">
            <w:pPr>
              <w:snapToGri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Vnt.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12AD5" w14:textId="77777777" w:rsidR="00D724AD" w:rsidRDefault="003F7766">
            <w:pPr>
              <w:snapToGri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509EB" w14:textId="77777777" w:rsidR="00D724AD" w:rsidRDefault="003F7766">
            <w:pPr>
              <w:snapToGrid w:val="0"/>
              <w:jc w:val="center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A3C5D" w14:textId="77777777" w:rsidR="00D724AD" w:rsidRDefault="003F7766">
            <w:pPr>
              <w:snapToGrid w:val="0"/>
              <w:jc w:val="center"/>
            </w:pPr>
            <w:r>
              <w:rPr>
                <w:rFonts w:eastAsia="Calibri"/>
                <w:sz w:val="24"/>
                <w:szCs w:val="22"/>
                <w:lang w:eastAsia="en-US"/>
              </w:rPr>
              <w:t>2023-2027</w:t>
            </w:r>
          </w:p>
        </w:tc>
      </w:tr>
      <w:tr w:rsidR="00AB4FED" w14:paraId="3B77B605" w14:textId="77777777" w:rsidTr="00AB4F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D66FD" w14:textId="77777777" w:rsidR="00D724AD" w:rsidRDefault="003F7766">
            <w:pPr>
              <w:jc w:val="center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504B4" w14:textId="77777777" w:rsidR="00D724AD" w:rsidRDefault="003F7766">
            <w:pPr>
              <w:jc w:val="center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02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22C8E" w14:textId="77777777" w:rsidR="00D724AD" w:rsidRDefault="003F7766">
            <w:r>
              <w:rPr>
                <w:sz w:val="24"/>
                <w:szCs w:val="24"/>
              </w:rPr>
              <w:t>Integruoti STEAM ugdymo metodiką į ugdymo turinio procesą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42225" w14:textId="77777777" w:rsidR="00D724AD" w:rsidRDefault="003F7766">
            <w:pPr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 xml:space="preserve">Grupių skaičius, kuris įtrauks STEAM metodiką į ugdymo turinio </w:t>
            </w:r>
            <w:r>
              <w:rPr>
                <w:rFonts w:eastAsia="Calibri"/>
                <w:bCs/>
                <w:sz w:val="24"/>
                <w:szCs w:val="22"/>
              </w:rPr>
              <w:t>procesą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EC81F" w14:textId="77777777" w:rsidR="00D724AD" w:rsidRDefault="003F7766">
            <w:pPr>
              <w:snapToGri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Vnt.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02F92" w14:textId="77777777" w:rsidR="00D724AD" w:rsidRDefault="003F7766">
            <w:pPr>
              <w:snapToGri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DB381" w14:textId="77777777" w:rsidR="00D724AD" w:rsidRDefault="003F7766">
            <w:pPr>
              <w:snapToGrid w:val="0"/>
              <w:jc w:val="center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C2FEE" w14:textId="77777777" w:rsidR="00D724AD" w:rsidRDefault="003F7766">
            <w:pPr>
              <w:snapToGrid w:val="0"/>
              <w:jc w:val="center"/>
            </w:pPr>
            <w:r>
              <w:rPr>
                <w:rFonts w:eastAsia="Calibri"/>
                <w:sz w:val="24"/>
                <w:szCs w:val="22"/>
                <w:lang w:eastAsia="en-US"/>
              </w:rPr>
              <w:t>2023-2027</w:t>
            </w:r>
          </w:p>
        </w:tc>
      </w:tr>
      <w:tr w:rsidR="00AB4FED" w14:paraId="6C0BFCBA" w14:textId="77777777" w:rsidTr="00AB4F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EC1B1" w14:textId="77777777" w:rsidR="00D724AD" w:rsidRDefault="003F7766">
            <w:pPr>
              <w:jc w:val="center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9A85F" w14:textId="77777777" w:rsidR="00D724AD" w:rsidRDefault="003F7766">
            <w:pPr>
              <w:jc w:val="center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03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D3520" w14:textId="77777777" w:rsidR="00D724AD" w:rsidRDefault="003F7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Stiprinti vaikų emocinę ir psichinę sveikatą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C0D0E" w14:textId="77777777" w:rsidR="00D724AD" w:rsidRDefault="003F7766">
            <w:pPr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Dalyvaujančių vaikų, sveikatą stiprinančių projektų veiklose dalis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D9274" w14:textId="77777777" w:rsidR="00D724AD" w:rsidRDefault="003F7766">
            <w:pPr>
              <w:snapToGri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Proc.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820BF" w14:textId="77777777" w:rsidR="00D724AD" w:rsidRDefault="003F7766">
            <w:pPr>
              <w:snapToGri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CE022" w14:textId="7F6ECD18" w:rsidR="00D724AD" w:rsidRDefault="003F7766">
            <w:pPr>
              <w:snapToGrid w:val="0"/>
              <w:jc w:val="center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100</w:t>
            </w:r>
            <w:r w:rsidR="00147CA6">
              <w:rPr>
                <w:rFonts w:eastAsia="Calibri"/>
                <w:sz w:val="24"/>
                <w:szCs w:val="22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F3A49" w14:textId="77777777" w:rsidR="00D724AD" w:rsidRDefault="003F7766">
            <w:pPr>
              <w:snapToGri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2023-2027</w:t>
            </w:r>
          </w:p>
        </w:tc>
      </w:tr>
      <w:tr w:rsidR="00AB4FED" w14:paraId="084F9797" w14:textId="77777777" w:rsidTr="00AB4F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B4F4D" w14:textId="77777777" w:rsidR="00D724AD" w:rsidRDefault="003F7766">
            <w:pPr>
              <w:jc w:val="center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E0DD2" w14:textId="77777777" w:rsidR="00D724AD" w:rsidRDefault="003F7766">
            <w:pPr>
              <w:jc w:val="center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04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50AC1" w14:textId="77777777" w:rsidR="00D724AD" w:rsidRDefault="003F7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Sveikatos programos, projektinių veiklų integravimas į ugdymą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A634F" w14:textId="77777777" w:rsidR="00D724AD" w:rsidRDefault="003F7766">
            <w:pPr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Dalyvaujančių skaičius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09554" w14:textId="77777777" w:rsidR="00D724AD" w:rsidRDefault="003F7766">
            <w:pPr>
              <w:snapToGri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Vnt.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DAA3C" w14:textId="77777777" w:rsidR="00D724AD" w:rsidRDefault="003F7766">
            <w:pPr>
              <w:snapToGri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876DF" w14:textId="77777777" w:rsidR="00D724AD" w:rsidRDefault="003F7766">
            <w:pPr>
              <w:snapToGrid w:val="0"/>
              <w:jc w:val="center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50FE6" w14:textId="77777777" w:rsidR="00D724AD" w:rsidRDefault="003F7766">
            <w:pPr>
              <w:snapToGri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2023-2027</w:t>
            </w:r>
          </w:p>
        </w:tc>
      </w:tr>
      <w:tr w:rsidR="00AB4FED" w14:paraId="0A694DDB" w14:textId="77777777" w:rsidTr="00AB4F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735B3" w14:textId="77777777" w:rsidR="00D724AD" w:rsidRDefault="003F7766">
            <w:pPr>
              <w:jc w:val="center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3F68F" w14:textId="77777777" w:rsidR="00D724AD" w:rsidRDefault="003F7766">
            <w:pPr>
              <w:jc w:val="center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05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6A065" w14:textId="77777777" w:rsidR="00D724AD" w:rsidRDefault="003F7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Teikti efektyvią pagalbą specialiųjų ugdymosi poreikių turintiems vaikams ir jų šeimoms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4115E" w14:textId="77777777" w:rsidR="00D724AD" w:rsidRDefault="003F7766">
            <w:pPr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Specialiųjų ugdymosi poreikių vaikų/šeimų dalis gaunanti pagalba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B125A" w14:textId="77777777" w:rsidR="00D724AD" w:rsidRDefault="003F7766">
            <w:pPr>
              <w:snapToGri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Proc.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BB9F2" w14:textId="77777777" w:rsidR="00D724AD" w:rsidRDefault="003F7766">
            <w:pPr>
              <w:snapToGri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95C0C" w14:textId="3FDC3F22" w:rsidR="00D724AD" w:rsidRDefault="003F7766">
            <w:pPr>
              <w:snapToGrid w:val="0"/>
              <w:jc w:val="center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100</w:t>
            </w:r>
            <w:r w:rsidR="00147CA6">
              <w:rPr>
                <w:rFonts w:eastAsia="Calibri"/>
                <w:sz w:val="24"/>
                <w:szCs w:val="22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CF7BF" w14:textId="77777777" w:rsidR="00D724AD" w:rsidRDefault="003F7766">
            <w:pPr>
              <w:snapToGri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2023-2027</w:t>
            </w:r>
          </w:p>
        </w:tc>
      </w:tr>
      <w:tr w:rsidR="00AB4FED" w14:paraId="66C9B614" w14:textId="1135624E" w:rsidTr="00AB4F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C7A84" w14:textId="77777777" w:rsidR="00AB4FED" w:rsidRDefault="00AB4FED">
            <w:pPr>
              <w:jc w:val="center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02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4D706" w14:textId="77777777" w:rsidR="00AB4FED" w:rsidRDefault="00AB4FED" w:rsidP="006A54E8">
            <w:pPr>
              <w:pStyle w:val="prastasiniatinklio"/>
            </w:pPr>
            <w:r>
              <w:rPr>
                <w:b/>
                <w:bCs/>
                <w:color w:val="000000"/>
              </w:rPr>
              <w:t>Inovatyvios, funkcionalios ugdymo aplinkos modernizavimas</w:t>
            </w:r>
          </w:p>
        </w:tc>
        <w:tc>
          <w:tcPr>
            <w:tcW w:w="3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/>
          </w:tcPr>
          <w:p w14:paraId="785D329C" w14:textId="347636F7" w:rsidR="00AB4FED" w:rsidRDefault="0093117C" w:rsidP="006A54E8">
            <w:pPr>
              <w:pStyle w:val="prastasiniatinklio"/>
            </w:pPr>
            <w:r>
              <w:t xml:space="preserve"> </w:t>
            </w:r>
            <w:r w:rsidR="00AB4FED">
              <w:t>Skirt</w:t>
            </w:r>
            <w:r w:rsidR="00D61284">
              <w:t>ų</w:t>
            </w:r>
            <w:r w:rsidR="00AB4FED">
              <w:t xml:space="preserve"> lėšų</w:t>
            </w:r>
            <w:r w:rsidR="00147CA6">
              <w:t xml:space="preserve"> dalis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</w:tcPr>
          <w:p w14:paraId="18A70C4F" w14:textId="723E4C62" w:rsidR="00AB4FED" w:rsidRDefault="00147CA6" w:rsidP="006A54E8">
            <w:pPr>
              <w:pStyle w:val="prastasiniatinklio"/>
              <w:jc w:val="center"/>
            </w:pPr>
            <w:r>
              <w:t>Proc</w:t>
            </w:r>
            <w:r w:rsidR="00AB4FED">
              <w:t>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</w:tcPr>
          <w:p w14:paraId="2946AF56" w14:textId="2BC129B6" w:rsidR="00AB4FED" w:rsidRPr="00D357AC" w:rsidRDefault="006A54E8" w:rsidP="005D6AF6">
            <w:pPr>
              <w:pStyle w:val="prastasiniatinkli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</w:tcPr>
          <w:p w14:paraId="19990B32" w14:textId="79AEBED7" w:rsidR="00AB4FED" w:rsidRDefault="00147CA6" w:rsidP="005D6AF6">
            <w:pPr>
              <w:pStyle w:val="prastasiniatinklio"/>
              <w:jc w:val="center"/>
            </w:pPr>
            <w:r>
              <w:t>20</w:t>
            </w:r>
            <w:r>
              <w:rPr>
                <w:rFonts w:eastAsia="Calibri"/>
                <w:szCs w:val="22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4808F857" w14:textId="39667C73" w:rsidR="00AB4FED" w:rsidRDefault="006A54E8" w:rsidP="005D6AF6">
            <w:pPr>
              <w:pStyle w:val="prastasiniatinklio"/>
              <w:jc w:val="center"/>
            </w:pPr>
            <w:r>
              <w:t>2023-2027</w:t>
            </w:r>
          </w:p>
        </w:tc>
      </w:tr>
      <w:tr w:rsidR="00AB4FED" w14:paraId="5E38DA21" w14:textId="77777777" w:rsidTr="00AB4F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B003E" w14:textId="77777777" w:rsidR="00D724AD" w:rsidRDefault="003F7766">
            <w:pPr>
              <w:jc w:val="center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548B4" w14:textId="77777777" w:rsidR="00D724AD" w:rsidRDefault="003F7766">
            <w:pPr>
              <w:jc w:val="center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01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2F6BB" w14:textId="77777777" w:rsidR="00D724AD" w:rsidRDefault="003F7766">
            <w:r>
              <w:rPr>
                <w:color w:val="000000"/>
                <w:sz w:val="24"/>
                <w:szCs w:val="24"/>
              </w:rPr>
              <w:t>Modernizuoti, vaikų poreikius atitinkančią ugdymo(si) aplinką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05FDD" w14:textId="77777777" w:rsidR="00D724AD" w:rsidRDefault="003F7766">
            <w:pPr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Modernizuotos ugdymo aplinkos dalis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A8BE8" w14:textId="77777777" w:rsidR="00D724AD" w:rsidRDefault="003F7766">
            <w:pPr>
              <w:snapToGri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Proc.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62F53" w14:textId="77777777" w:rsidR="00D724AD" w:rsidRDefault="003F7766">
            <w:pPr>
              <w:snapToGri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280A9" w14:textId="77777777" w:rsidR="00D724AD" w:rsidRDefault="003F7766">
            <w:pPr>
              <w:snapToGrid w:val="0"/>
              <w:jc w:val="center"/>
            </w:pPr>
            <w:r>
              <w:rPr>
                <w:rFonts w:eastAsia="Calibri"/>
                <w:bCs/>
                <w:sz w:val="24"/>
                <w:szCs w:val="22"/>
              </w:rPr>
              <w:t>50</w:t>
            </w:r>
            <w:r>
              <w:rPr>
                <w:rFonts w:eastAsia="Calibri"/>
                <w:sz w:val="24"/>
                <w:szCs w:val="22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E9076" w14:textId="77777777" w:rsidR="00D724AD" w:rsidRDefault="003F7766">
            <w:pPr>
              <w:snapToGrid w:val="0"/>
              <w:jc w:val="center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2023-2027</w:t>
            </w:r>
          </w:p>
        </w:tc>
      </w:tr>
      <w:tr w:rsidR="00AB4FED" w14:paraId="28314C9C" w14:textId="77777777" w:rsidTr="00AB4F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506F8" w14:textId="77777777" w:rsidR="00D724AD" w:rsidRDefault="003F7766">
            <w:pPr>
              <w:jc w:val="center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92FE9" w14:textId="77777777" w:rsidR="00D724AD" w:rsidRDefault="003F7766">
            <w:pPr>
              <w:jc w:val="center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02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FD2FC" w14:textId="77777777" w:rsidR="00D724AD" w:rsidRDefault="003F7766">
            <w:pPr>
              <w:pStyle w:val="prastasiniatinklio"/>
            </w:pPr>
            <w:r>
              <w:rPr>
                <w:color w:val="000000"/>
              </w:rPr>
              <w:t xml:space="preserve">Gerinti ir plėtoti </w:t>
            </w:r>
            <w:r>
              <w:rPr>
                <w:color w:val="000000"/>
              </w:rPr>
              <w:t>informacinių komunikacinių technologijų bazę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E097A" w14:textId="77777777" w:rsidR="00D724AD" w:rsidRDefault="003F7766">
            <w:pPr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Dalyvaujančių mokytojų dalis (IKT) mokymuose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E77F1" w14:textId="77777777" w:rsidR="00D724AD" w:rsidRDefault="003F7766">
            <w:pPr>
              <w:snapToGri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Proc.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C449A" w14:textId="77777777" w:rsidR="00D724AD" w:rsidRDefault="003F7766">
            <w:pPr>
              <w:snapToGrid w:val="0"/>
              <w:jc w:val="center"/>
            </w:pPr>
            <w:r>
              <w:rPr>
                <w:rFonts w:eastAsia="Calibri"/>
                <w:sz w:val="24"/>
                <w:szCs w:val="22"/>
                <w:lang w:eastAsia="en-US"/>
              </w:rPr>
              <w:t>30%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078B9" w14:textId="77777777" w:rsidR="00D724AD" w:rsidRDefault="003F7766">
            <w:pPr>
              <w:snapToGrid w:val="0"/>
              <w:jc w:val="center"/>
            </w:pPr>
            <w:r>
              <w:rPr>
                <w:rFonts w:eastAsia="Calibri"/>
                <w:bCs/>
                <w:sz w:val="24"/>
                <w:szCs w:val="22"/>
              </w:rPr>
              <w:t>80</w:t>
            </w:r>
            <w:r>
              <w:rPr>
                <w:rFonts w:eastAsia="Calibri"/>
                <w:sz w:val="24"/>
                <w:szCs w:val="22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43490" w14:textId="77777777" w:rsidR="00D724AD" w:rsidRDefault="003F7766">
            <w:pPr>
              <w:snapToGrid w:val="0"/>
              <w:jc w:val="center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2023-2027</w:t>
            </w:r>
          </w:p>
        </w:tc>
      </w:tr>
      <w:tr w:rsidR="00AB4FED" w14:paraId="1E2B045B" w14:textId="77777777" w:rsidTr="00AB4F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4BD6A" w14:textId="77777777" w:rsidR="00D724AD" w:rsidRDefault="003F7766">
            <w:pPr>
              <w:jc w:val="center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33C95" w14:textId="77777777" w:rsidR="00D724AD" w:rsidRDefault="003F7766">
            <w:pPr>
              <w:jc w:val="center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03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81F5C" w14:textId="77777777" w:rsidR="00D724AD" w:rsidRDefault="003F7766">
            <w:pPr>
              <w:pStyle w:val="prastasiniatinklio"/>
            </w:pPr>
            <w:r>
              <w:rPr>
                <w:color w:val="000000"/>
              </w:rPr>
              <w:t>Įrengti naujas, funkcionalias, vaikų ugdymui(si) pritaikytas, vidaus ir lauko edukacines erdves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7D061" w14:textId="77777777" w:rsidR="00D724AD" w:rsidRDefault="003F7766">
            <w:pPr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 xml:space="preserve">Atnaujintų / sukurtų </w:t>
            </w:r>
            <w:r>
              <w:rPr>
                <w:rFonts w:eastAsia="Calibri"/>
                <w:bCs/>
                <w:sz w:val="24"/>
                <w:szCs w:val="22"/>
              </w:rPr>
              <w:t>edukacinių erdvių skaičius (vnt.)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20FC7" w14:textId="77777777" w:rsidR="00D724AD" w:rsidRDefault="003F7766">
            <w:pPr>
              <w:snapToGri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Vnt.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40668" w14:textId="77777777" w:rsidR="00D724AD" w:rsidRDefault="003F7766">
            <w:pPr>
              <w:snapToGri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697B4" w14:textId="77777777" w:rsidR="00D724AD" w:rsidRDefault="003F7766">
            <w:pPr>
              <w:snapToGrid w:val="0"/>
              <w:jc w:val="center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698A7" w14:textId="399EACE0" w:rsidR="00D724AD" w:rsidRDefault="003F7766">
            <w:pPr>
              <w:snapToGrid w:val="0"/>
              <w:jc w:val="center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2023-202</w:t>
            </w:r>
            <w:r w:rsidR="00147CA6">
              <w:rPr>
                <w:rFonts w:eastAsia="Calibri"/>
                <w:bCs/>
                <w:sz w:val="24"/>
                <w:szCs w:val="22"/>
              </w:rPr>
              <w:t>7</w:t>
            </w:r>
          </w:p>
        </w:tc>
      </w:tr>
      <w:tr w:rsidR="00AB4FED" w14:paraId="6C1FFF98" w14:textId="7601413A" w:rsidTr="00AB4F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2C7AF" w14:textId="77777777" w:rsidR="00AB4FED" w:rsidRDefault="00AB4FED">
            <w:pPr>
              <w:jc w:val="center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03</w:t>
            </w:r>
          </w:p>
        </w:tc>
        <w:tc>
          <w:tcPr>
            <w:tcW w:w="5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3805B" w14:textId="77777777" w:rsidR="00AB4FED" w:rsidRDefault="00AB4FED" w:rsidP="00AB4FED">
            <w:pPr>
              <w:snapToGrid w:val="0"/>
              <w:jc w:val="both"/>
            </w:pPr>
            <w:r>
              <w:rPr>
                <w:b/>
                <w:bCs/>
                <w:color w:val="000000"/>
                <w:sz w:val="24"/>
                <w:szCs w:val="24"/>
              </w:rPr>
              <w:t>Nuolat besimokančios bendruomenės telkimas stiprinant lyderystės, bendravimo ir bendradarbiavimo kultūrą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/>
          </w:tcPr>
          <w:p w14:paraId="009DB52E" w14:textId="574ABADA" w:rsidR="00AB4FED" w:rsidRPr="005D6AF6" w:rsidRDefault="00BE2141" w:rsidP="004D6E7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47CA6">
              <w:rPr>
                <w:sz w:val="24"/>
                <w:szCs w:val="24"/>
              </w:rPr>
              <w:t>Mokytojų, pasidalijusių gerąj</w:t>
            </w:r>
            <w:r w:rsidR="0093117C">
              <w:rPr>
                <w:sz w:val="24"/>
                <w:szCs w:val="24"/>
              </w:rPr>
              <w:t>a</w:t>
            </w:r>
            <w:r w:rsidR="00147CA6">
              <w:rPr>
                <w:sz w:val="24"/>
                <w:szCs w:val="24"/>
              </w:rPr>
              <w:t xml:space="preserve"> patirtimi dalis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</w:tcPr>
          <w:p w14:paraId="07120649" w14:textId="05FCBB77" w:rsidR="00AB4FED" w:rsidRPr="005D6AF6" w:rsidRDefault="004D6E77" w:rsidP="005D6A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</w:tcPr>
          <w:p w14:paraId="23BBC47E" w14:textId="27DDA770" w:rsidR="00AB4FED" w:rsidRPr="005D6AF6" w:rsidRDefault="00147CA6" w:rsidP="005D6A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rFonts w:eastAsia="Calibri"/>
                <w:sz w:val="24"/>
                <w:szCs w:val="22"/>
                <w:lang w:eastAsia="en-US"/>
              </w:rPr>
              <w:t>%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</w:tcPr>
          <w:p w14:paraId="5796E1DA" w14:textId="1B137BC8" w:rsidR="00AB4FED" w:rsidRPr="005D6AF6" w:rsidRDefault="00BE2141" w:rsidP="005D6A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>
              <w:rPr>
                <w:rFonts w:eastAsia="Calibri"/>
                <w:sz w:val="24"/>
                <w:szCs w:val="22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29303E9D" w14:textId="1A09A8DE" w:rsidR="00AB4FED" w:rsidRPr="005D6AF6" w:rsidRDefault="005D6AF6" w:rsidP="005D6AF6">
            <w:pPr>
              <w:snapToGrid w:val="0"/>
              <w:jc w:val="center"/>
              <w:rPr>
                <w:sz w:val="24"/>
                <w:szCs w:val="24"/>
              </w:rPr>
            </w:pPr>
            <w:r w:rsidRPr="005D6AF6">
              <w:rPr>
                <w:sz w:val="24"/>
                <w:szCs w:val="24"/>
              </w:rPr>
              <w:t>2023-202</w:t>
            </w:r>
            <w:r w:rsidR="00147CA6">
              <w:rPr>
                <w:sz w:val="24"/>
                <w:szCs w:val="24"/>
              </w:rPr>
              <w:t>7</w:t>
            </w:r>
          </w:p>
        </w:tc>
      </w:tr>
      <w:tr w:rsidR="00AB4FED" w14:paraId="4795E5FB" w14:textId="77777777" w:rsidTr="00AB4F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D5093" w14:textId="77777777" w:rsidR="00D724AD" w:rsidRDefault="003F7766">
            <w:pPr>
              <w:jc w:val="center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8CFAD" w14:textId="77777777" w:rsidR="00D724AD" w:rsidRDefault="003F7766">
            <w:pPr>
              <w:jc w:val="center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01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3E323" w14:textId="77777777" w:rsidR="00D724AD" w:rsidRDefault="003F7766">
            <w:r>
              <w:rPr>
                <w:color w:val="000000"/>
                <w:sz w:val="24"/>
                <w:szCs w:val="24"/>
              </w:rPr>
              <w:t xml:space="preserve">Plėtoti </w:t>
            </w:r>
            <w:r>
              <w:rPr>
                <w:color w:val="000000"/>
                <w:sz w:val="24"/>
                <w:szCs w:val="24"/>
              </w:rPr>
              <w:t>šeimos įtraukimo į ugdymo procesą galimybes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D6D8A" w14:textId="77777777" w:rsidR="00D724AD" w:rsidRDefault="003F7766">
            <w:pPr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Dalyvaujančių asmenų dalis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006F8" w14:textId="77777777" w:rsidR="00D724AD" w:rsidRDefault="003F7766">
            <w:pPr>
              <w:snapToGri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Proc.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84F01" w14:textId="77777777" w:rsidR="00D724AD" w:rsidRDefault="003F7766">
            <w:pPr>
              <w:snapToGri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25%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BBD64" w14:textId="77777777" w:rsidR="00D724AD" w:rsidRDefault="003F7766">
            <w:pPr>
              <w:snapToGrid w:val="0"/>
              <w:jc w:val="center"/>
            </w:pPr>
            <w:r>
              <w:rPr>
                <w:rFonts w:eastAsia="Calibri"/>
                <w:bCs/>
                <w:sz w:val="24"/>
                <w:szCs w:val="22"/>
              </w:rPr>
              <w:t>80</w:t>
            </w:r>
            <w:r>
              <w:rPr>
                <w:rFonts w:eastAsia="Calibri"/>
                <w:sz w:val="24"/>
                <w:szCs w:val="22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D91FA" w14:textId="77777777" w:rsidR="00D724AD" w:rsidRDefault="003F7766">
            <w:pPr>
              <w:snapToGrid w:val="0"/>
              <w:jc w:val="center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2023-2027</w:t>
            </w:r>
          </w:p>
        </w:tc>
      </w:tr>
      <w:tr w:rsidR="00AB4FED" w14:paraId="33AA21F7" w14:textId="77777777" w:rsidTr="00AB4F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4B6EF" w14:textId="77777777" w:rsidR="00D724AD" w:rsidRDefault="003F7766">
            <w:pPr>
              <w:jc w:val="center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AC61E" w14:textId="77777777" w:rsidR="00D724AD" w:rsidRDefault="003F7766">
            <w:pPr>
              <w:jc w:val="center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02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F37D3" w14:textId="77777777" w:rsidR="00D724AD" w:rsidRDefault="003F7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Aktyvinti bendradarbiavimą su socialiniais partneriais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D8C12" w14:textId="77777777" w:rsidR="00D724AD" w:rsidRDefault="003F7766">
            <w:pPr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Bendradarbiavimo tęstinumas su socialiniais partneriais respublikiniu bei tarptautiniu mastu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35007" w14:textId="77777777" w:rsidR="00D724AD" w:rsidRDefault="003F7766">
            <w:pPr>
              <w:snapToGri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Proc.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1ECF2" w14:textId="77777777" w:rsidR="00D724AD" w:rsidRDefault="003F7766">
            <w:pPr>
              <w:snapToGri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30%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BAF92" w14:textId="77777777" w:rsidR="00D724AD" w:rsidRDefault="003F7766">
            <w:pPr>
              <w:snapToGrid w:val="0"/>
              <w:jc w:val="center"/>
            </w:pPr>
            <w:r>
              <w:rPr>
                <w:rFonts w:eastAsia="Calibri"/>
                <w:bCs/>
                <w:sz w:val="24"/>
                <w:szCs w:val="22"/>
              </w:rPr>
              <w:t>70</w:t>
            </w:r>
            <w:r>
              <w:rPr>
                <w:rFonts w:eastAsia="Calibri"/>
                <w:sz w:val="24"/>
                <w:szCs w:val="22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B3B99" w14:textId="77777777" w:rsidR="00D724AD" w:rsidRDefault="003F7766">
            <w:pPr>
              <w:snapToGrid w:val="0"/>
              <w:jc w:val="center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2023-2027</w:t>
            </w:r>
          </w:p>
        </w:tc>
      </w:tr>
      <w:tr w:rsidR="00AB4FED" w14:paraId="6EC9F99F" w14:textId="77777777" w:rsidTr="00AB4F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5E237" w14:textId="77777777" w:rsidR="00D724AD" w:rsidRDefault="003F7766">
            <w:pPr>
              <w:jc w:val="center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41785" w14:textId="77777777" w:rsidR="00D724AD" w:rsidRDefault="003F7766">
            <w:pPr>
              <w:jc w:val="center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03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7245B" w14:textId="77777777" w:rsidR="00D724AD" w:rsidRDefault="003F7766">
            <w:pPr>
              <w:pStyle w:val="prastasiniatinklio"/>
            </w:pPr>
            <w:r>
              <w:t>Stiprinti įstaigos bendruomenės mokymosi ir pasidalijimo gerąja patirtimi tradicijas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A8522" w14:textId="77777777" w:rsidR="00D724AD" w:rsidRDefault="003F7766">
            <w:pPr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Pranešimai / Metodinės dienos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24D87" w14:textId="77777777" w:rsidR="00D724AD" w:rsidRDefault="003F7766">
            <w:pPr>
              <w:snapToGri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Vnt.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52EA1" w14:textId="77777777" w:rsidR="00D724AD" w:rsidRDefault="003F7766">
            <w:pPr>
              <w:snapToGri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A9043" w14:textId="77777777" w:rsidR="00D724AD" w:rsidRDefault="003F7766">
            <w:pPr>
              <w:snapToGrid w:val="0"/>
              <w:jc w:val="center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D0F8B" w14:textId="77777777" w:rsidR="00D724AD" w:rsidRDefault="003F7766">
            <w:pPr>
              <w:snapToGrid w:val="0"/>
              <w:jc w:val="center"/>
              <w:rPr>
                <w:rFonts w:eastAsia="Calibri"/>
                <w:bCs/>
                <w:sz w:val="24"/>
                <w:szCs w:val="22"/>
              </w:rPr>
            </w:pPr>
            <w:r>
              <w:rPr>
                <w:rFonts w:eastAsia="Calibri"/>
                <w:bCs/>
                <w:sz w:val="24"/>
                <w:szCs w:val="22"/>
              </w:rPr>
              <w:t>2023-2027</w:t>
            </w:r>
          </w:p>
        </w:tc>
      </w:tr>
    </w:tbl>
    <w:p w14:paraId="557A3675" w14:textId="77777777" w:rsidR="00D724AD" w:rsidRDefault="00D724AD">
      <w:pPr>
        <w:rPr>
          <w:sz w:val="24"/>
          <w:szCs w:val="24"/>
        </w:rPr>
      </w:pPr>
    </w:p>
    <w:p w14:paraId="4C87FD58" w14:textId="77777777" w:rsidR="00D724AD" w:rsidRDefault="00D724AD">
      <w:pPr>
        <w:rPr>
          <w:sz w:val="24"/>
          <w:szCs w:val="24"/>
        </w:rPr>
      </w:pPr>
    </w:p>
    <w:p w14:paraId="180F06D1" w14:textId="77777777" w:rsidR="00D724AD" w:rsidRDefault="00D724AD"/>
    <w:sectPr w:rsidR="00D724AD">
      <w:footerReference w:type="default" r:id="rId7"/>
      <w:pgSz w:w="16840" w:h="11907" w:orient="landscape"/>
      <w:pgMar w:top="567" w:right="1134" w:bottom="1701" w:left="1701" w:header="0" w:footer="17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E5E7D" w14:textId="77777777" w:rsidR="002C7F77" w:rsidRDefault="002C7F77">
      <w:r>
        <w:separator/>
      </w:r>
    </w:p>
  </w:endnote>
  <w:endnote w:type="continuationSeparator" w:id="0">
    <w:p w14:paraId="0E45DEA6" w14:textId="77777777" w:rsidR="002C7F77" w:rsidRDefault="002C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;MS Gothic">
    <w:charset w:val="00"/>
    <w:family w:val="roman"/>
    <w:pitch w:val="default"/>
  </w:font>
  <w:font w:name="HelveticaLT">
    <w:altName w:val="Arial"/>
    <w:charset w:val="00"/>
    <w:family w:val="swiss"/>
    <w:pitch w:val="variable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5198" w14:textId="77777777" w:rsidR="00580091" w:rsidRDefault="003F7766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6CC9F388" w14:textId="77777777" w:rsidR="00580091" w:rsidRDefault="003F7766">
    <w:pPr>
      <w:pStyle w:val="Porat"/>
      <w:rPr>
        <w:rFonts w:ascii="HelveticaLT" w:hAnsi="HelveticaLT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D4C41" w14:textId="77777777" w:rsidR="002C7F77" w:rsidRDefault="002C7F77">
      <w:r>
        <w:rPr>
          <w:color w:val="000000"/>
        </w:rPr>
        <w:separator/>
      </w:r>
    </w:p>
  </w:footnote>
  <w:footnote w:type="continuationSeparator" w:id="0">
    <w:p w14:paraId="2010B9C8" w14:textId="77777777" w:rsidR="002C7F77" w:rsidRDefault="002C7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AD"/>
    <w:rsid w:val="00104FE4"/>
    <w:rsid w:val="001423C1"/>
    <w:rsid w:val="00147CA6"/>
    <w:rsid w:val="002C7F77"/>
    <w:rsid w:val="0034450F"/>
    <w:rsid w:val="003F7766"/>
    <w:rsid w:val="004409A6"/>
    <w:rsid w:val="004D6E77"/>
    <w:rsid w:val="005D6AF6"/>
    <w:rsid w:val="006A54E8"/>
    <w:rsid w:val="0093117C"/>
    <w:rsid w:val="00AB4FED"/>
    <w:rsid w:val="00BE2141"/>
    <w:rsid w:val="00D357AC"/>
    <w:rsid w:val="00D61284"/>
    <w:rsid w:val="00D724AD"/>
    <w:rsid w:val="00E15709"/>
    <w:rsid w:val="00E3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0152"/>
  <w15:docId w15:val="{B8A92586-3145-41E7-9573-B2EA1446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rastasiniatinklio">
    <w:name w:val="Normal (Web)"/>
    <w:basedOn w:val="prastasis"/>
    <w:pPr>
      <w:spacing w:before="100" w:after="100"/>
    </w:pPr>
    <w:rPr>
      <w:sz w:val="24"/>
      <w:szCs w:val="24"/>
    </w:rPr>
  </w:style>
  <w:style w:type="character" w:styleId="Komentaronuoroda">
    <w:name w:val="annotation reference"/>
    <w:rPr>
      <w:sz w:val="16"/>
      <w:szCs w:val="16"/>
    </w:rPr>
  </w:style>
  <w:style w:type="paragraph" w:styleId="Komentarotekstas">
    <w:name w:val="annotation text"/>
    <w:basedOn w:val="prastasis"/>
  </w:style>
  <w:style w:type="character" w:customStyle="1" w:styleId="KomentarotekstasDiagrama">
    <w:name w:val="Komentaro tekstas Diagrama"/>
    <w:basedOn w:val="Numatytasispastraiposriftas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pg-1ff2">
    <w:name w:val="pg-1ff2"/>
    <w:basedOn w:val="Numatytasispastraiposriftas"/>
  </w:style>
  <w:style w:type="character" w:customStyle="1" w:styleId="pg-1ff1">
    <w:name w:val="pg-1ff1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8560D-E7A9-4786-80BF-4384DDFF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3598</Words>
  <Characters>2051</Characters>
  <Application>Microsoft Office Word</Application>
  <DocSecurity>4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eKomisas</dc:creator>
  <dc:description/>
  <cp:lastModifiedBy>Linelis</cp:lastModifiedBy>
  <cp:revision>2</cp:revision>
  <dcterms:created xsi:type="dcterms:W3CDTF">2023-01-16T15:23:00Z</dcterms:created>
  <dcterms:modified xsi:type="dcterms:W3CDTF">2023-01-16T15:23:00Z</dcterms:modified>
</cp:coreProperties>
</file>